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5.xml" ContentType="application/vnd.openxmlformats-officedocument.wordprocessingml.header+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6.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7.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8.xml" ContentType="application/vnd.openxmlformats-officedocument.drawingml.chartshapes+xml"/>
  <Override PartName="/word/charts/chart11.xml" ContentType="application/vnd.openxmlformats-officedocument.drawingml.chart+xml"/>
  <Override PartName="/word/theme/themeOverride11.xml" ContentType="application/vnd.openxmlformats-officedocument.themeOverride+xml"/>
  <Override PartName="/word/drawings/drawing9.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drawings/drawing10.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drawings/drawing11.xml" ContentType="application/vnd.openxmlformats-officedocument.drawingml.chartshapes+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5130" w14:textId="62C9B094" w:rsidR="001D7C48" w:rsidRPr="00086AB2" w:rsidRDefault="00797CC1" w:rsidP="00D52504">
      <w:pPr>
        <w:pStyle w:val="SWACoverintroparagraph"/>
        <w:ind w:left="-238"/>
        <w:jc w:val="center"/>
        <w:sectPr w:rsidR="001D7C48" w:rsidRPr="00086AB2" w:rsidSect="00B028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244" w:bottom="249" w:left="238" w:header="0" w:footer="0" w:gutter="0"/>
          <w:cols w:space="242"/>
          <w:titlePg/>
          <w:docGrid w:linePitch="360"/>
        </w:sectPr>
      </w:pPr>
      <w:r>
        <w:rPr>
          <w:noProof/>
        </w:rPr>
        <w:drawing>
          <wp:anchor distT="0" distB="0" distL="114300" distR="114300" simplePos="0" relativeHeight="251734016" behindDoc="1" locked="0" layoutInCell="1" allowOverlap="1" wp14:anchorId="6E881559" wp14:editId="7326C6E8">
            <wp:simplePos x="0" y="0"/>
            <wp:positionH relativeFrom="page">
              <wp:align>left</wp:align>
            </wp:positionH>
            <wp:positionV relativeFrom="paragraph">
              <wp:posOffset>0</wp:posOffset>
            </wp:positionV>
            <wp:extent cx="7581900" cy="10723435"/>
            <wp:effectExtent l="0" t="0" r="0" b="1905"/>
            <wp:wrapTight wrapText="bothSides">
              <wp:wrapPolygon edited="0">
                <wp:start x="0" y="0"/>
                <wp:lineTo x="0" y="21565"/>
                <wp:lineTo x="21546" y="21565"/>
                <wp:lineTo x="21546" y="0"/>
                <wp:lineTo x="0" y="0"/>
              </wp:wrapPolygon>
            </wp:wrapTight>
            <wp:docPr id="2012368402" name="Picture 2" descr="A cover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68402" name="Picture 2" descr="A cover of a repo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81900" cy="10723435"/>
                    </a:xfrm>
                    <a:prstGeom prst="rect">
                      <a:avLst/>
                    </a:prstGeom>
                  </pic:spPr>
                </pic:pic>
              </a:graphicData>
            </a:graphic>
          </wp:anchor>
        </w:drawing>
      </w:r>
    </w:p>
    <w:p w14:paraId="383AB6B2" w14:textId="26645AAC" w:rsidR="004F2B63" w:rsidRPr="001D7C48" w:rsidRDefault="004F2B63" w:rsidP="004F2B63">
      <w:pPr>
        <w:pStyle w:val="SWADisclaimerheading"/>
      </w:pPr>
      <w:bookmarkStart w:id="0" w:name="_Hlk54961234"/>
      <w:r w:rsidRPr="001D7C48">
        <w:lastRenderedPageBreak/>
        <w:t>Disclaimer</w:t>
      </w:r>
    </w:p>
    <w:p w14:paraId="3F7F9645" w14:textId="77777777" w:rsidR="004F2B63" w:rsidRDefault="004F2B63" w:rsidP="004F2B63">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1CB4AA1D" w14:textId="77777777" w:rsidR="004F2B63" w:rsidRDefault="004F2B63" w:rsidP="004F2B63">
      <w:pPr>
        <w:pStyle w:val="SWADisclaimerbodytext"/>
      </w:pPr>
      <w:r>
        <w:t xml:space="preserve">Safe Work Australia works with the Commonwealth, </w:t>
      </w:r>
      <w:proofErr w:type="gramStart"/>
      <w:r>
        <w:t>state</w:t>
      </w:r>
      <w:proofErr w:type="gramEnd"/>
      <w: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2A8A4944" w14:textId="77777777" w:rsidR="007F03B6" w:rsidRPr="00077D9A" w:rsidRDefault="00A93A35" w:rsidP="008C746B">
      <w:pPr>
        <w:autoSpaceDE w:val="0"/>
        <w:autoSpaceDN w:val="0"/>
        <w:rPr>
          <w:b/>
          <w:bCs/>
          <w:color w:val="000000"/>
          <w:sz w:val="14"/>
          <w:szCs w:val="14"/>
          <w:lang w:eastAsia="ko-KR"/>
        </w:rPr>
      </w:pPr>
      <w:r w:rsidRPr="00077D9A">
        <w:rPr>
          <w:b/>
          <w:bCs/>
          <w:color w:val="000000"/>
          <w:sz w:val="14"/>
          <w:szCs w:val="14"/>
          <w:lang w:eastAsia="ko-KR"/>
        </w:rPr>
        <w:t>ISSN 2209-9158</w:t>
      </w:r>
    </w:p>
    <w:p w14:paraId="20DD15BE" w14:textId="77777777" w:rsidR="004F2B63" w:rsidRPr="008530EB" w:rsidRDefault="004F2B63" w:rsidP="004F2B63">
      <w:pPr>
        <w:pStyle w:val="SWADisclaimerheading"/>
      </w:pPr>
      <w:r>
        <w:t>Creative Commons</w:t>
      </w:r>
    </w:p>
    <w:p w14:paraId="5C97D97C" w14:textId="77777777" w:rsidR="004F2B63" w:rsidRPr="00A034C4" w:rsidRDefault="004F2B63" w:rsidP="004F2B63">
      <w:pPr>
        <w:pStyle w:val="SWADisclaimerheading"/>
        <w:rPr>
          <w:rFonts w:eastAsia="Times New Roman" w:cs="Times New Roman"/>
          <w:b w:val="0"/>
          <w:color w:val="auto"/>
          <w:spacing w:val="0"/>
          <w:lang w:eastAsia="en-AU"/>
        </w:rPr>
      </w:pPr>
      <w:proofErr w:type="gramStart"/>
      <w:r w:rsidRPr="003770DC">
        <w:rPr>
          <w:rFonts w:eastAsia="Times New Roman" w:cs="Times New Roman"/>
          <w:b w:val="0"/>
          <w:color w:val="auto"/>
          <w:spacing w:val="0"/>
          <w:lang w:eastAsia="en-AU"/>
        </w:rPr>
        <w:t>With the exception of</w:t>
      </w:r>
      <w:proofErr w:type="gramEnd"/>
      <w:r w:rsidRPr="003770DC">
        <w:rPr>
          <w:rFonts w:eastAsia="Times New Roman" w:cs="Times New Roman"/>
          <w:b w:val="0"/>
          <w:color w:val="auto"/>
          <w:spacing w:val="0"/>
          <w:lang w:eastAsia="en-AU"/>
        </w:rPr>
        <w:t xml:space="preserve">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w:t>
      </w:r>
      <w:proofErr w:type="gramStart"/>
      <w:r w:rsidRPr="003770DC">
        <w:rPr>
          <w:rFonts w:eastAsia="Times New Roman" w:cs="Times New Roman"/>
          <w:b w:val="0"/>
          <w:color w:val="auto"/>
          <w:spacing w:val="0"/>
          <w:lang w:eastAsia="en-AU"/>
        </w:rPr>
        <w:t>as long as</w:t>
      </w:r>
      <w:proofErr w:type="gramEnd"/>
      <w:r w:rsidRPr="003770DC">
        <w:rPr>
          <w:rFonts w:eastAsia="Times New Roman" w:cs="Times New Roman"/>
          <w:b w:val="0"/>
          <w:color w:val="auto"/>
          <w:spacing w:val="0"/>
          <w:lang w:eastAsia="en-AU"/>
        </w:rPr>
        <w:t xml:space="preserve"> you attribute the work to Safe Work Australia and abide by the other licence terms.</w:t>
      </w:r>
    </w:p>
    <w:p w14:paraId="487F647B" w14:textId="77777777" w:rsidR="004F2B63" w:rsidRPr="00A034C4" w:rsidRDefault="004F2B63" w:rsidP="004F2B63">
      <w:pPr>
        <w:pStyle w:val="SWADisclaimerheading"/>
        <w:rPr>
          <w:color w:val="145B85"/>
        </w:rPr>
      </w:pPr>
      <w:r>
        <w:t>Contact information</w:t>
      </w:r>
    </w:p>
    <w:p w14:paraId="5A3E94E1" w14:textId="4F89D365" w:rsidR="004F2B63" w:rsidRPr="00D60313" w:rsidRDefault="004F2B63" w:rsidP="004F2B63">
      <w:pPr>
        <w:pStyle w:val="SWADisclaimerheading"/>
        <w:sectPr w:rsidR="004F2B63" w:rsidRPr="00D60313" w:rsidSect="00B02854">
          <w:pgSz w:w="11906" w:h="16838" w:code="9"/>
          <w:pgMar w:top="992" w:right="1797" w:bottom="1440" w:left="1276" w:header="709" w:footer="709" w:gutter="0"/>
          <w:cols w:space="242"/>
          <w:vAlign w:val="bottom"/>
          <w:titlePg/>
          <w:docGrid w:linePitch="360"/>
        </w:sectPr>
      </w:pPr>
      <w:r w:rsidRPr="00A034C4">
        <w:rPr>
          <w:rFonts w:eastAsia="Times New Roman" w:cs="Times New Roman"/>
          <w:b w:val="0"/>
          <w:color w:val="auto"/>
          <w:spacing w:val="0"/>
          <w:lang w:eastAsia="en-AU"/>
        </w:rPr>
        <w:t xml:space="preserve">Safe Work Australia | </w:t>
      </w:r>
      <w:hyperlink r:id="rId15" w:tooltip="Safe Work Australia email address" w:history="1">
        <w:r w:rsidRPr="00A034C4">
          <w:rPr>
            <w:rStyle w:val="Hyperlink"/>
            <w:rFonts w:eastAsia="Times New Roman" w:cs="Times New Roman"/>
            <w:b w:val="0"/>
            <w:spacing w:val="0"/>
            <w:lang w:eastAsia="en-AU"/>
          </w:rPr>
          <w:t>mailto:info@swa.gov.au</w:t>
        </w:r>
      </w:hyperlink>
      <w:r w:rsidRPr="00A034C4">
        <w:rPr>
          <w:rFonts w:eastAsia="Times New Roman" w:cs="Times New Roman"/>
          <w:b w:val="0"/>
          <w:color w:val="auto"/>
          <w:spacing w:val="0"/>
          <w:lang w:eastAsia="en-AU"/>
        </w:rPr>
        <w:t xml:space="preserve"> | </w:t>
      </w:r>
      <w:hyperlink r:id="rId16" w:history="1">
        <w:r w:rsidRPr="00A034C4">
          <w:rPr>
            <w:rStyle w:val="Hyperlink"/>
            <w:rFonts w:eastAsia="Times New Roman" w:cs="Times New Roman"/>
            <w:b w:val="0"/>
            <w:spacing w:val="0"/>
            <w:lang w:eastAsia="en-AU"/>
          </w:rPr>
          <w:t>www.swa.gov.au</w:t>
        </w:r>
      </w:hyperlink>
    </w:p>
    <w:bookmarkEnd w:id="0"/>
    <w:p w14:paraId="7182F2FD" w14:textId="1CE3157B" w:rsidR="00744E0A" w:rsidRDefault="00744E0A" w:rsidP="00744E0A">
      <w:pPr>
        <w:pStyle w:val="TOCHeading"/>
        <w:spacing w:before="240" w:after="200"/>
      </w:pPr>
      <w:r w:rsidRPr="00CB201F">
        <w:lastRenderedPageBreak/>
        <w:t>Comparative Performance Monitoring (CPM</w:t>
      </w:r>
      <w:r>
        <w:t>) 2</w:t>
      </w:r>
      <w:r w:rsidR="004C5E42">
        <w:t>5</w:t>
      </w:r>
      <w:r w:rsidRPr="00F751E4">
        <w:rPr>
          <w:vertAlign w:val="superscript"/>
        </w:rPr>
        <w:t>th</w:t>
      </w:r>
      <w:r>
        <w:t xml:space="preserve"> edition indicators</w:t>
      </w:r>
    </w:p>
    <w:p w14:paraId="3879984A" w14:textId="77777777" w:rsidR="00AD7B88" w:rsidRDefault="00AD7B88" w:rsidP="00AD7B88">
      <w:pPr>
        <w:spacing w:after="20" w:line="276" w:lineRule="auto"/>
        <w:jc w:val="left"/>
      </w:pPr>
      <w:r>
        <w:t xml:space="preserve">The CPM comprises of 5 sections that measure Work Health and Safety and Workers’ Compensation performance.  The bolded indicators are included in this section. </w:t>
      </w:r>
    </w:p>
    <w:p w14:paraId="2BD4262E" w14:textId="77777777" w:rsidR="00AD7B88" w:rsidRDefault="00AD7B88" w:rsidP="00AD7B88">
      <w:pPr>
        <w:spacing w:after="20" w:line="276" w:lineRule="auto"/>
        <w:jc w:val="left"/>
        <w:rPr>
          <w:b/>
          <w:bCs/>
        </w:rPr>
      </w:pPr>
    </w:p>
    <w:p w14:paraId="04C96E48" w14:textId="77777777" w:rsidR="00AD7B88" w:rsidRPr="00846E39" w:rsidRDefault="00AD7B88" w:rsidP="00AD7B88">
      <w:pPr>
        <w:spacing w:after="20" w:line="276" w:lineRule="auto"/>
        <w:jc w:val="left"/>
        <w:rPr>
          <w:b/>
          <w:bCs/>
        </w:rPr>
      </w:pPr>
      <w:r w:rsidRPr="00846E39">
        <w:rPr>
          <w:b/>
          <w:bCs/>
        </w:rPr>
        <w:t xml:space="preserve">Work </w:t>
      </w:r>
      <w:r>
        <w:rPr>
          <w:b/>
          <w:bCs/>
        </w:rPr>
        <w:t>H</w:t>
      </w:r>
      <w:r w:rsidRPr="00846E39">
        <w:rPr>
          <w:b/>
          <w:bCs/>
        </w:rPr>
        <w:t xml:space="preserve">ealth and </w:t>
      </w:r>
      <w:r>
        <w:rPr>
          <w:b/>
          <w:bCs/>
        </w:rPr>
        <w:t>S</w:t>
      </w:r>
      <w:r w:rsidRPr="00846E39">
        <w:rPr>
          <w:b/>
          <w:bCs/>
        </w:rPr>
        <w:t xml:space="preserve">afety </w:t>
      </w:r>
      <w:r>
        <w:rPr>
          <w:b/>
          <w:bCs/>
        </w:rPr>
        <w:t xml:space="preserve">Performance </w:t>
      </w:r>
    </w:p>
    <w:p w14:paraId="3E988324" w14:textId="77777777" w:rsidR="00AD7B88" w:rsidRPr="00AD7B88" w:rsidRDefault="00AD7B88" w:rsidP="00474F06">
      <w:pPr>
        <w:pStyle w:val="ListParagraph"/>
        <w:numPr>
          <w:ilvl w:val="0"/>
          <w:numId w:val="9"/>
        </w:numPr>
        <w:spacing w:after="20" w:line="276" w:lineRule="auto"/>
        <w:jc w:val="left"/>
        <w:rPr>
          <w:b/>
          <w:bCs/>
        </w:rPr>
      </w:pPr>
      <w:r w:rsidRPr="00AD7B88">
        <w:rPr>
          <w:b/>
          <w:bCs/>
        </w:rPr>
        <w:t>Incidence rates of serious injury and disease claims by jurisdiction</w:t>
      </w:r>
      <w:r w:rsidRPr="00AD7B88">
        <w:rPr>
          <w:b/>
          <w:bCs/>
        </w:rPr>
        <w:tab/>
      </w:r>
    </w:p>
    <w:p w14:paraId="7BEBE4C0" w14:textId="77777777" w:rsidR="00AD7B88" w:rsidRPr="00AD7B88" w:rsidRDefault="00AD7B88" w:rsidP="00474F06">
      <w:pPr>
        <w:pStyle w:val="ListParagraph"/>
        <w:numPr>
          <w:ilvl w:val="0"/>
          <w:numId w:val="9"/>
        </w:numPr>
        <w:spacing w:after="20" w:line="276" w:lineRule="auto"/>
        <w:jc w:val="left"/>
        <w:rPr>
          <w:b/>
          <w:bCs/>
        </w:rPr>
      </w:pPr>
      <w:r w:rsidRPr="00AD7B88">
        <w:rPr>
          <w:b/>
          <w:bCs/>
        </w:rPr>
        <w:t>Frequency rates of serious injury claims by jurisdiction</w:t>
      </w:r>
      <w:r w:rsidRPr="00AD7B88">
        <w:rPr>
          <w:b/>
          <w:bCs/>
        </w:rPr>
        <w:tab/>
      </w:r>
    </w:p>
    <w:p w14:paraId="23B39070" w14:textId="77777777" w:rsidR="00AD7B88" w:rsidRPr="00AD7B88" w:rsidRDefault="00AD7B88" w:rsidP="00474F06">
      <w:pPr>
        <w:pStyle w:val="ListParagraph"/>
        <w:numPr>
          <w:ilvl w:val="0"/>
          <w:numId w:val="9"/>
        </w:numPr>
        <w:spacing w:after="20" w:line="276" w:lineRule="auto"/>
        <w:jc w:val="left"/>
        <w:rPr>
          <w:b/>
          <w:bCs/>
        </w:rPr>
      </w:pPr>
      <w:r w:rsidRPr="00AD7B88">
        <w:rPr>
          <w:b/>
          <w:bCs/>
        </w:rPr>
        <w:t>Incidence rates of long term (12 weeks or more compensation) injury and disease claims by jurisdiction</w:t>
      </w:r>
      <w:r w:rsidRPr="00AD7B88">
        <w:rPr>
          <w:b/>
          <w:bCs/>
        </w:rPr>
        <w:tab/>
      </w:r>
    </w:p>
    <w:p w14:paraId="3AB8E7BD" w14:textId="77777777" w:rsidR="00AD7B88" w:rsidRPr="00AD7B88" w:rsidRDefault="00AD7B88" w:rsidP="00474F06">
      <w:pPr>
        <w:pStyle w:val="ListParagraph"/>
        <w:numPr>
          <w:ilvl w:val="0"/>
          <w:numId w:val="9"/>
        </w:numPr>
        <w:spacing w:after="20" w:line="276" w:lineRule="auto"/>
        <w:jc w:val="left"/>
        <w:rPr>
          <w:b/>
          <w:bCs/>
        </w:rPr>
      </w:pPr>
      <w:r w:rsidRPr="00AD7B88">
        <w:rPr>
          <w:b/>
          <w:bCs/>
        </w:rPr>
        <w:t>Frequency rates of long term (12 weeks or more compensation) injury and disease claims by jurisdiction</w:t>
      </w:r>
    </w:p>
    <w:p w14:paraId="629F0956" w14:textId="77777777" w:rsidR="00AD7B88" w:rsidRPr="00AD7B88" w:rsidRDefault="00AD7B88" w:rsidP="00474F06">
      <w:pPr>
        <w:pStyle w:val="ListParagraph"/>
        <w:numPr>
          <w:ilvl w:val="0"/>
          <w:numId w:val="9"/>
        </w:numPr>
        <w:spacing w:after="20" w:line="276" w:lineRule="auto"/>
        <w:jc w:val="left"/>
        <w:rPr>
          <w:b/>
          <w:bCs/>
        </w:rPr>
      </w:pPr>
      <w:r w:rsidRPr="00AD7B88">
        <w:rPr>
          <w:b/>
          <w:bCs/>
        </w:rPr>
        <w:t>Self-insured claims: number and proportion of serious claims by jurisdiction</w:t>
      </w:r>
      <w:r w:rsidRPr="00AD7B88">
        <w:rPr>
          <w:b/>
          <w:bCs/>
        </w:rPr>
        <w:tab/>
      </w:r>
    </w:p>
    <w:p w14:paraId="0A36139E" w14:textId="77777777" w:rsidR="00AD7B88" w:rsidRPr="00AD7B88" w:rsidRDefault="00AD7B88" w:rsidP="00474F06">
      <w:pPr>
        <w:pStyle w:val="ListParagraph"/>
        <w:numPr>
          <w:ilvl w:val="0"/>
          <w:numId w:val="9"/>
        </w:numPr>
        <w:spacing w:after="20" w:line="276" w:lineRule="auto"/>
        <w:jc w:val="left"/>
        <w:rPr>
          <w:b/>
          <w:bCs/>
        </w:rPr>
      </w:pPr>
      <w:r w:rsidRPr="00AD7B88">
        <w:rPr>
          <w:b/>
          <w:bCs/>
        </w:rPr>
        <w:t xml:space="preserve">Serious claims: Percentage involving selected periods of </w:t>
      </w:r>
      <w:proofErr w:type="gramStart"/>
      <w:r w:rsidRPr="00AD7B88">
        <w:rPr>
          <w:b/>
          <w:bCs/>
        </w:rPr>
        <w:t>compensation</w:t>
      </w:r>
      <w:proofErr w:type="gramEnd"/>
    </w:p>
    <w:p w14:paraId="579B530A" w14:textId="77777777" w:rsidR="00AD7B88" w:rsidRPr="00AD7B88" w:rsidRDefault="00AD7B88" w:rsidP="00474F06">
      <w:pPr>
        <w:pStyle w:val="ListParagraph"/>
        <w:numPr>
          <w:ilvl w:val="0"/>
          <w:numId w:val="9"/>
        </w:numPr>
        <w:spacing w:after="20" w:line="276" w:lineRule="auto"/>
        <w:jc w:val="left"/>
        <w:rPr>
          <w:b/>
          <w:bCs/>
        </w:rPr>
      </w:pPr>
      <w:r w:rsidRPr="00AD7B88">
        <w:rPr>
          <w:b/>
          <w:bCs/>
        </w:rPr>
        <w:t>Traumatic injury worker fatalities: number and rate of incidents not on a public road, by state of death</w:t>
      </w:r>
      <w:r w:rsidRPr="00AD7B88">
        <w:rPr>
          <w:b/>
          <w:bCs/>
        </w:rPr>
        <w:tab/>
      </w:r>
    </w:p>
    <w:p w14:paraId="7CCD7AC6" w14:textId="77777777" w:rsidR="00AD7B88" w:rsidRPr="00AD7B88" w:rsidRDefault="00AD7B88" w:rsidP="00474F06">
      <w:pPr>
        <w:pStyle w:val="ListParagraph"/>
        <w:numPr>
          <w:ilvl w:val="0"/>
          <w:numId w:val="9"/>
        </w:numPr>
        <w:spacing w:after="20" w:line="276" w:lineRule="auto"/>
        <w:jc w:val="left"/>
        <w:rPr>
          <w:b/>
          <w:bCs/>
        </w:rPr>
      </w:pPr>
      <w:r w:rsidRPr="00AD7B88">
        <w:rPr>
          <w:b/>
          <w:bCs/>
        </w:rPr>
        <w:t xml:space="preserve">Compensated fatalities involving occupational diseases by </w:t>
      </w:r>
      <w:proofErr w:type="gramStart"/>
      <w:r w:rsidRPr="00AD7B88">
        <w:rPr>
          <w:b/>
          <w:bCs/>
        </w:rPr>
        <w:t>jurisdiction</w:t>
      </w:r>
      <w:proofErr w:type="gramEnd"/>
      <w:r w:rsidRPr="00AD7B88">
        <w:rPr>
          <w:b/>
          <w:bCs/>
        </w:rPr>
        <w:tab/>
      </w:r>
    </w:p>
    <w:p w14:paraId="71EBFD74" w14:textId="77777777" w:rsidR="00AD7B88" w:rsidRPr="00AD7B88" w:rsidRDefault="00AD7B88" w:rsidP="00474F06">
      <w:pPr>
        <w:pStyle w:val="ListParagraph"/>
        <w:numPr>
          <w:ilvl w:val="0"/>
          <w:numId w:val="9"/>
        </w:numPr>
        <w:spacing w:after="20" w:line="276" w:lineRule="auto"/>
        <w:jc w:val="left"/>
        <w:rPr>
          <w:b/>
          <w:bCs/>
        </w:rPr>
      </w:pPr>
      <w:r w:rsidRPr="00AD7B88">
        <w:rPr>
          <w:b/>
          <w:bCs/>
        </w:rPr>
        <w:t>Proportion of serious claims by mechanism of incident</w:t>
      </w:r>
    </w:p>
    <w:p w14:paraId="05675157" w14:textId="77777777" w:rsidR="00AD7B88" w:rsidRPr="00AD7B88" w:rsidRDefault="00AD7B88" w:rsidP="00474F06">
      <w:pPr>
        <w:pStyle w:val="ListParagraph"/>
        <w:numPr>
          <w:ilvl w:val="0"/>
          <w:numId w:val="9"/>
        </w:numPr>
        <w:spacing w:after="20" w:line="276" w:lineRule="auto"/>
        <w:jc w:val="left"/>
        <w:rPr>
          <w:b/>
          <w:bCs/>
        </w:rPr>
      </w:pPr>
      <w:r w:rsidRPr="00AD7B88">
        <w:rPr>
          <w:b/>
          <w:bCs/>
        </w:rPr>
        <w:t>Incidence rates of serious claims by industry</w:t>
      </w:r>
    </w:p>
    <w:p w14:paraId="67A8365E" w14:textId="77777777" w:rsidR="00AD7B88" w:rsidRDefault="00AD7B88" w:rsidP="00AD7B88">
      <w:pPr>
        <w:spacing w:after="20" w:line="276" w:lineRule="auto"/>
        <w:jc w:val="left"/>
      </w:pPr>
      <w:r>
        <w:tab/>
      </w:r>
    </w:p>
    <w:p w14:paraId="3B3AA418" w14:textId="77777777" w:rsidR="00AD7B88" w:rsidRPr="00EC45EC" w:rsidRDefault="00AD7B88" w:rsidP="00AD7B88">
      <w:pPr>
        <w:spacing w:after="20" w:line="276" w:lineRule="auto"/>
        <w:jc w:val="left"/>
        <w:rPr>
          <w:b/>
          <w:bCs/>
        </w:rPr>
      </w:pPr>
      <w:r w:rsidRPr="00EC45EC">
        <w:rPr>
          <w:b/>
          <w:bCs/>
        </w:rPr>
        <w:t>Work Health and Safety Compliance and Enforcement Activities</w:t>
      </w:r>
    </w:p>
    <w:p w14:paraId="53B5EE6E" w14:textId="77777777" w:rsidR="00AD7B88" w:rsidRPr="00AD7B88" w:rsidRDefault="00AD7B88" w:rsidP="00474F06">
      <w:pPr>
        <w:pStyle w:val="ListParagraph"/>
        <w:numPr>
          <w:ilvl w:val="0"/>
          <w:numId w:val="10"/>
        </w:numPr>
        <w:spacing w:after="20" w:line="276" w:lineRule="auto"/>
        <w:jc w:val="left"/>
      </w:pPr>
      <w:r w:rsidRPr="00AD7B88">
        <w:t>Work health and safety intervention activity by jurisdiction</w:t>
      </w:r>
      <w:r w:rsidRPr="00AD7B88">
        <w:tab/>
      </w:r>
    </w:p>
    <w:p w14:paraId="0588D745" w14:textId="77777777" w:rsidR="00AD7B88" w:rsidRPr="00AD7B88" w:rsidRDefault="00AD7B88" w:rsidP="00474F06">
      <w:pPr>
        <w:pStyle w:val="ListParagraph"/>
        <w:numPr>
          <w:ilvl w:val="0"/>
          <w:numId w:val="10"/>
        </w:numPr>
        <w:spacing w:after="20" w:line="276" w:lineRule="auto"/>
        <w:jc w:val="left"/>
      </w:pPr>
      <w:r w:rsidRPr="00AD7B88">
        <w:t>Work health and safety inspectorate activity by jurisdiction</w:t>
      </w:r>
    </w:p>
    <w:p w14:paraId="6DB7155B" w14:textId="77777777" w:rsidR="00AD7B88" w:rsidRPr="00AD7B88" w:rsidRDefault="00AD7B88" w:rsidP="00474F06">
      <w:pPr>
        <w:pStyle w:val="ListParagraph"/>
        <w:numPr>
          <w:ilvl w:val="0"/>
          <w:numId w:val="10"/>
        </w:numPr>
        <w:spacing w:after="20" w:line="276" w:lineRule="auto"/>
        <w:jc w:val="left"/>
      </w:pPr>
      <w:r w:rsidRPr="00AD7B88">
        <w:t xml:space="preserve">Work health and safety notices and enforceable undertakings by jurisdiction </w:t>
      </w:r>
    </w:p>
    <w:p w14:paraId="23BB331B" w14:textId="77777777" w:rsidR="00AD7B88" w:rsidRPr="00AD7B88" w:rsidRDefault="00AD7B88" w:rsidP="00474F06">
      <w:pPr>
        <w:pStyle w:val="ListParagraph"/>
        <w:numPr>
          <w:ilvl w:val="0"/>
          <w:numId w:val="10"/>
        </w:numPr>
        <w:spacing w:after="20" w:line="276" w:lineRule="auto"/>
        <w:jc w:val="left"/>
      </w:pPr>
      <w:r w:rsidRPr="00AD7B88">
        <w:t>Work health and safety legal proceedings and fines by jurisdiction</w:t>
      </w:r>
    </w:p>
    <w:p w14:paraId="5FA44DC7" w14:textId="77777777" w:rsidR="00AD7B88" w:rsidRDefault="00AD7B88" w:rsidP="00AD7B88">
      <w:pPr>
        <w:spacing w:after="20" w:line="276" w:lineRule="auto"/>
        <w:jc w:val="left"/>
      </w:pPr>
    </w:p>
    <w:p w14:paraId="3D48A342" w14:textId="77777777" w:rsidR="00AD7B88" w:rsidRPr="00F10904" w:rsidRDefault="00AD7B88" w:rsidP="00AD7B88">
      <w:pPr>
        <w:spacing w:after="20" w:line="276" w:lineRule="auto"/>
        <w:jc w:val="left"/>
        <w:rPr>
          <w:b/>
          <w:bCs/>
          <w:noProof/>
        </w:rPr>
      </w:pPr>
      <w:r w:rsidRPr="00F10904">
        <w:rPr>
          <w:b/>
          <w:bCs/>
          <w:noProof/>
        </w:rPr>
        <w:t>Workers’ Compensation Premiums</w:t>
      </w:r>
    </w:p>
    <w:p w14:paraId="26ABFE42" w14:textId="77777777" w:rsidR="00AD7B88" w:rsidRDefault="00AD7B88" w:rsidP="00474F06">
      <w:pPr>
        <w:pStyle w:val="ListParagraph"/>
        <w:numPr>
          <w:ilvl w:val="0"/>
          <w:numId w:val="11"/>
        </w:numPr>
        <w:spacing w:after="20" w:line="276" w:lineRule="auto"/>
        <w:jc w:val="left"/>
        <w:rPr>
          <w:noProof/>
        </w:rPr>
      </w:pPr>
      <w:r>
        <w:rPr>
          <w:noProof/>
        </w:rPr>
        <w:t>Standardised average premium rates (including insured and self-insured sectors) by jurisdiction</w:t>
      </w:r>
      <w:r>
        <w:rPr>
          <w:noProof/>
        </w:rPr>
        <w:tab/>
      </w:r>
    </w:p>
    <w:p w14:paraId="2F45F74E" w14:textId="77777777" w:rsidR="00AD7B88" w:rsidRDefault="00AD7B88" w:rsidP="00474F06">
      <w:pPr>
        <w:pStyle w:val="ListParagraph"/>
        <w:numPr>
          <w:ilvl w:val="0"/>
          <w:numId w:val="11"/>
        </w:numPr>
        <w:spacing w:after="20" w:line="276" w:lineRule="auto"/>
        <w:jc w:val="left"/>
        <w:rPr>
          <w:noProof/>
        </w:rPr>
      </w:pPr>
      <w:r>
        <w:rPr>
          <w:noProof/>
        </w:rPr>
        <w:t>Australian average premium rates by industry</w:t>
      </w:r>
      <w:r>
        <w:rPr>
          <w:noProof/>
        </w:rPr>
        <w:tab/>
      </w:r>
    </w:p>
    <w:p w14:paraId="2A2D3032" w14:textId="77777777" w:rsidR="00AD7B88" w:rsidRDefault="00AD7B88" w:rsidP="00AD7B88">
      <w:pPr>
        <w:spacing w:after="20" w:line="276" w:lineRule="auto"/>
        <w:jc w:val="left"/>
        <w:rPr>
          <w:noProof/>
        </w:rPr>
      </w:pPr>
    </w:p>
    <w:p w14:paraId="229EC53C" w14:textId="77777777" w:rsidR="00AD7B88" w:rsidRPr="009309A3" w:rsidRDefault="00AD7B88" w:rsidP="00AD7B88">
      <w:pPr>
        <w:spacing w:after="20" w:line="276" w:lineRule="auto"/>
        <w:jc w:val="left"/>
        <w:rPr>
          <w:b/>
          <w:bCs/>
        </w:rPr>
      </w:pPr>
      <w:r>
        <w:rPr>
          <w:b/>
          <w:bCs/>
        </w:rPr>
        <w:t>Workers’ Compensation Funding Ratios</w:t>
      </w:r>
    </w:p>
    <w:p w14:paraId="400144D2" w14:textId="77777777" w:rsidR="00AD7B88" w:rsidRPr="009309A3" w:rsidRDefault="00AD7B88" w:rsidP="00474F06">
      <w:pPr>
        <w:pStyle w:val="ListParagraph"/>
        <w:numPr>
          <w:ilvl w:val="0"/>
          <w:numId w:val="12"/>
        </w:numPr>
        <w:spacing w:after="20" w:line="276" w:lineRule="auto"/>
        <w:jc w:val="left"/>
      </w:pPr>
      <w:r w:rsidRPr="009309A3">
        <w:t xml:space="preserve">Standardised ratio of assets to net outstanding claim liabilities for centrally funded </w:t>
      </w:r>
      <w:proofErr w:type="gramStart"/>
      <w:r w:rsidRPr="009309A3">
        <w:t>schemes</w:t>
      </w:r>
      <w:proofErr w:type="gramEnd"/>
    </w:p>
    <w:p w14:paraId="0BBA04B5" w14:textId="77777777" w:rsidR="00AD7B88" w:rsidRPr="009309A3" w:rsidRDefault="00AD7B88" w:rsidP="00474F06">
      <w:pPr>
        <w:pStyle w:val="ListParagraph"/>
        <w:numPr>
          <w:ilvl w:val="0"/>
          <w:numId w:val="12"/>
        </w:numPr>
        <w:spacing w:after="20" w:line="276" w:lineRule="auto"/>
        <w:jc w:val="left"/>
      </w:pPr>
      <w:r w:rsidRPr="009309A3">
        <w:t xml:space="preserve">Standardised ratio of assets to net outstanding claim liabilities for privately underwritten </w:t>
      </w:r>
      <w:proofErr w:type="gramStart"/>
      <w:r w:rsidRPr="009309A3">
        <w:t>schemes</w:t>
      </w:r>
      <w:proofErr w:type="gramEnd"/>
      <w:r w:rsidRPr="009309A3">
        <w:tab/>
      </w:r>
    </w:p>
    <w:p w14:paraId="7A53541D" w14:textId="77777777" w:rsidR="00AD7B88" w:rsidRDefault="00AD7B88" w:rsidP="00AD7B88">
      <w:pPr>
        <w:spacing w:after="20" w:line="276" w:lineRule="auto"/>
        <w:jc w:val="left"/>
        <w:rPr>
          <w:b/>
          <w:bCs/>
        </w:rPr>
      </w:pPr>
    </w:p>
    <w:p w14:paraId="69CEDDDC" w14:textId="77777777" w:rsidR="00AD7B88" w:rsidRPr="00846E39" w:rsidRDefault="00AD7B88" w:rsidP="00AD7B88">
      <w:pPr>
        <w:spacing w:after="20" w:line="276" w:lineRule="auto"/>
        <w:jc w:val="left"/>
        <w:rPr>
          <w:b/>
          <w:bCs/>
        </w:rPr>
      </w:pPr>
      <w:r>
        <w:rPr>
          <w:b/>
          <w:bCs/>
        </w:rPr>
        <w:t>Workers’ Compensation Disputes</w:t>
      </w:r>
    </w:p>
    <w:p w14:paraId="40222E8B" w14:textId="77777777" w:rsidR="00AD7B88" w:rsidRPr="004E0EDF" w:rsidRDefault="00AD7B88" w:rsidP="00474F06">
      <w:pPr>
        <w:pStyle w:val="ListParagraph"/>
        <w:numPr>
          <w:ilvl w:val="0"/>
          <w:numId w:val="13"/>
        </w:numPr>
        <w:spacing w:after="20" w:line="276" w:lineRule="auto"/>
        <w:jc w:val="left"/>
      </w:pPr>
      <w:r w:rsidRPr="004E0EDF">
        <w:t>Proportion of claims with dispute</w:t>
      </w:r>
      <w:r w:rsidRPr="004E0EDF">
        <w:tab/>
      </w:r>
    </w:p>
    <w:p w14:paraId="7A605A5E" w14:textId="77777777" w:rsidR="00AD7B88" w:rsidRPr="004E0EDF" w:rsidRDefault="00AD7B88" w:rsidP="00474F06">
      <w:pPr>
        <w:pStyle w:val="ListParagraph"/>
        <w:numPr>
          <w:ilvl w:val="0"/>
          <w:numId w:val="13"/>
        </w:numPr>
        <w:spacing w:after="20" w:line="276" w:lineRule="auto"/>
        <w:jc w:val="left"/>
      </w:pPr>
      <w:r w:rsidRPr="004E0EDF">
        <w:t>Percentage of disputes resolved within selected time periods (cumulative)</w:t>
      </w:r>
    </w:p>
    <w:p w14:paraId="536A7934" w14:textId="02D82113" w:rsidR="00744E0A" w:rsidRDefault="00744E0A" w:rsidP="00744E0A">
      <w:pPr>
        <w:spacing w:after="20" w:line="276" w:lineRule="auto"/>
        <w:jc w:val="left"/>
      </w:pPr>
      <w:r>
        <w:rPr>
          <w:b/>
          <w:bCs/>
        </w:rPr>
        <w:br w:type="page"/>
      </w:r>
    </w:p>
    <w:sdt>
      <w:sdtPr>
        <w:rPr>
          <w:rFonts w:eastAsia="Times New Roman" w:cs="Times New Roman"/>
          <w:b w:val="0"/>
          <w:bCs w:val="0"/>
          <w:color w:val="auto"/>
          <w:sz w:val="20"/>
          <w:szCs w:val="24"/>
          <w:lang w:val="en-AU" w:eastAsia="en-AU"/>
        </w:rPr>
        <w:id w:val="804278026"/>
        <w:docPartObj>
          <w:docPartGallery w:val="Table of Contents"/>
          <w:docPartUnique/>
        </w:docPartObj>
      </w:sdtPr>
      <w:sdtEndPr>
        <w:rPr>
          <w:noProof/>
        </w:rPr>
      </w:sdtEndPr>
      <w:sdtContent>
        <w:p w14:paraId="67E699F2" w14:textId="626B8F6F" w:rsidR="0031228B" w:rsidRDefault="0031228B">
          <w:pPr>
            <w:pStyle w:val="TOCHeading"/>
          </w:pPr>
          <w:r>
            <w:t>Contents</w:t>
          </w:r>
        </w:p>
        <w:p w14:paraId="4AB36352" w14:textId="068DEE97" w:rsidR="006F4EC3" w:rsidRDefault="0031228B">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50245653" w:history="1">
            <w:r w:rsidR="006F4EC3" w:rsidRPr="00660EC2">
              <w:rPr>
                <w:rStyle w:val="Hyperlink"/>
              </w:rPr>
              <w:t>Foreword</w:t>
            </w:r>
            <w:r w:rsidR="006F4EC3">
              <w:rPr>
                <w:webHidden/>
              </w:rPr>
              <w:tab/>
            </w:r>
            <w:r w:rsidR="006F4EC3">
              <w:rPr>
                <w:webHidden/>
              </w:rPr>
              <w:fldChar w:fldCharType="begin"/>
            </w:r>
            <w:r w:rsidR="006F4EC3">
              <w:rPr>
                <w:webHidden/>
              </w:rPr>
              <w:instrText xml:space="preserve"> PAGEREF _Toc150245653 \h </w:instrText>
            </w:r>
            <w:r w:rsidR="006F4EC3">
              <w:rPr>
                <w:webHidden/>
              </w:rPr>
            </w:r>
            <w:r w:rsidR="006F4EC3">
              <w:rPr>
                <w:webHidden/>
              </w:rPr>
              <w:fldChar w:fldCharType="separate"/>
            </w:r>
            <w:r w:rsidR="006F4EC3">
              <w:rPr>
                <w:webHidden/>
              </w:rPr>
              <w:t>7</w:t>
            </w:r>
            <w:r w:rsidR="006F4EC3">
              <w:rPr>
                <w:webHidden/>
              </w:rPr>
              <w:fldChar w:fldCharType="end"/>
            </w:r>
          </w:hyperlink>
        </w:p>
        <w:p w14:paraId="5EF62916" w14:textId="518F17FD" w:rsidR="006F4EC3" w:rsidRDefault="00900B8E">
          <w:pPr>
            <w:pStyle w:val="TOC1"/>
            <w:rPr>
              <w:rFonts w:asciiTheme="minorHAnsi" w:eastAsiaTheme="minorEastAsia" w:hAnsiTheme="minorHAnsi" w:cstheme="minorBidi"/>
              <w:kern w:val="2"/>
              <w:sz w:val="22"/>
              <w:szCs w:val="22"/>
              <w14:ligatures w14:val="standardContextual"/>
            </w:rPr>
          </w:pPr>
          <w:hyperlink w:anchor="_Toc150245654" w:history="1">
            <w:r w:rsidR="006F4EC3" w:rsidRPr="00660EC2">
              <w:rPr>
                <w:rStyle w:val="Hyperlink"/>
                <w:caps/>
              </w:rPr>
              <w:t>1.</w:t>
            </w:r>
            <w:r w:rsidR="006F4EC3">
              <w:rPr>
                <w:rFonts w:asciiTheme="minorHAnsi" w:eastAsiaTheme="minorEastAsia" w:hAnsiTheme="minorHAnsi" w:cstheme="minorBidi"/>
                <w:kern w:val="2"/>
                <w:sz w:val="22"/>
                <w:szCs w:val="22"/>
                <w14:ligatures w14:val="standardContextual"/>
              </w:rPr>
              <w:tab/>
            </w:r>
            <w:r w:rsidR="006F4EC3" w:rsidRPr="00660EC2">
              <w:rPr>
                <w:rStyle w:val="Hyperlink"/>
              </w:rPr>
              <w:t>Serious claims</w:t>
            </w:r>
            <w:r w:rsidR="006F4EC3">
              <w:rPr>
                <w:webHidden/>
              </w:rPr>
              <w:tab/>
            </w:r>
            <w:r w:rsidR="006F4EC3">
              <w:rPr>
                <w:webHidden/>
              </w:rPr>
              <w:fldChar w:fldCharType="begin"/>
            </w:r>
            <w:r w:rsidR="006F4EC3">
              <w:rPr>
                <w:webHidden/>
              </w:rPr>
              <w:instrText xml:space="preserve"> PAGEREF _Toc150245654 \h </w:instrText>
            </w:r>
            <w:r w:rsidR="006F4EC3">
              <w:rPr>
                <w:webHidden/>
              </w:rPr>
            </w:r>
            <w:r w:rsidR="006F4EC3">
              <w:rPr>
                <w:webHidden/>
              </w:rPr>
              <w:fldChar w:fldCharType="separate"/>
            </w:r>
            <w:r w:rsidR="006F4EC3">
              <w:rPr>
                <w:webHidden/>
              </w:rPr>
              <w:t>8</w:t>
            </w:r>
            <w:r w:rsidR="006F4EC3">
              <w:rPr>
                <w:webHidden/>
              </w:rPr>
              <w:fldChar w:fldCharType="end"/>
            </w:r>
          </w:hyperlink>
        </w:p>
        <w:p w14:paraId="24932B34" w14:textId="6B57D9C2" w:rsidR="006F4EC3" w:rsidRDefault="00900B8E">
          <w:pPr>
            <w:pStyle w:val="TOC1"/>
            <w:rPr>
              <w:rFonts w:asciiTheme="minorHAnsi" w:eastAsiaTheme="minorEastAsia" w:hAnsiTheme="minorHAnsi" w:cstheme="minorBidi"/>
              <w:kern w:val="2"/>
              <w:sz w:val="22"/>
              <w:szCs w:val="22"/>
              <w14:ligatures w14:val="standardContextual"/>
            </w:rPr>
          </w:pPr>
          <w:hyperlink w:anchor="_Toc150245655" w:history="1">
            <w:r w:rsidR="006F4EC3" w:rsidRPr="00660EC2">
              <w:rPr>
                <w:rStyle w:val="Hyperlink"/>
              </w:rPr>
              <w:t>1.1</w:t>
            </w:r>
            <w:r w:rsidR="006F4EC3">
              <w:rPr>
                <w:rFonts w:asciiTheme="minorHAnsi" w:eastAsiaTheme="minorEastAsia" w:hAnsiTheme="minorHAnsi" w:cstheme="minorBidi"/>
                <w:kern w:val="2"/>
                <w:sz w:val="22"/>
                <w:szCs w:val="22"/>
                <w14:ligatures w14:val="standardContextual"/>
              </w:rPr>
              <w:tab/>
            </w:r>
            <w:r w:rsidR="00E5781C">
              <w:rPr>
                <w:rFonts w:asciiTheme="minorHAnsi" w:eastAsiaTheme="minorEastAsia" w:hAnsiTheme="minorHAnsi" w:cstheme="minorBidi"/>
                <w:kern w:val="2"/>
                <w:sz w:val="22"/>
                <w:szCs w:val="22"/>
                <w14:ligatures w14:val="standardContextual"/>
              </w:rPr>
              <w:t xml:space="preserve"> </w:t>
            </w:r>
            <w:r w:rsidR="006F4EC3" w:rsidRPr="00660EC2">
              <w:rPr>
                <w:rStyle w:val="Hyperlink"/>
              </w:rPr>
              <w:t>Incidence rate</w:t>
            </w:r>
            <w:r w:rsidR="006F4EC3">
              <w:rPr>
                <w:webHidden/>
              </w:rPr>
              <w:tab/>
            </w:r>
            <w:r w:rsidR="006F4EC3">
              <w:rPr>
                <w:webHidden/>
              </w:rPr>
              <w:fldChar w:fldCharType="begin"/>
            </w:r>
            <w:r w:rsidR="006F4EC3">
              <w:rPr>
                <w:webHidden/>
              </w:rPr>
              <w:instrText xml:space="preserve"> PAGEREF _Toc150245655 \h </w:instrText>
            </w:r>
            <w:r w:rsidR="006F4EC3">
              <w:rPr>
                <w:webHidden/>
              </w:rPr>
            </w:r>
            <w:r w:rsidR="006F4EC3">
              <w:rPr>
                <w:webHidden/>
              </w:rPr>
              <w:fldChar w:fldCharType="separate"/>
            </w:r>
            <w:r w:rsidR="006F4EC3">
              <w:rPr>
                <w:webHidden/>
              </w:rPr>
              <w:t>8</w:t>
            </w:r>
            <w:r w:rsidR="006F4EC3">
              <w:rPr>
                <w:webHidden/>
              </w:rPr>
              <w:fldChar w:fldCharType="end"/>
            </w:r>
          </w:hyperlink>
        </w:p>
        <w:p w14:paraId="3CED272F" w14:textId="60772A72"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56" w:history="1">
            <w:r w:rsidR="006F4EC3" w:rsidRPr="00660EC2">
              <w:rPr>
                <w:rStyle w:val="Hyperlink"/>
                <w:noProof/>
              </w:rPr>
              <w:t>Incidence rates of serious injury and disease claims by jurisdiction</w:t>
            </w:r>
            <w:r w:rsidR="006F4EC3">
              <w:rPr>
                <w:noProof/>
                <w:webHidden/>
              </w:rPr>
              <w:tab/>
            </w:r>
            <w:r w:rsidR="006F4EC3">
              <w:rPr>
                <w:noProof/>
                <w:webHidden/>
              </w:rPr>
              <w:fldChar w:fldCharType="begin"/>
            </w:r>
            <w:r w:rsidR="006F4EC3">
              <w:rPr>
                <w:noProof/>
                <w:webHidden/>
              </w:rPr>
              <w:instrText xml:space="preserve"> PAGEREF _Toc150245656 \h </w:instrText>
            </w:r>
            <w:r w:rsidR="006F4EC3">
              <w:rPr>
                <w:noProof/>
                <w:webHidden/>
              </w:rPr>
            </w:r>
            <w:r w:rsidR="006F4EC3">
              <w:rPr>
                <w:noProof/>
                <w:webHidden/>
              </w:rPr>
              <w:fldChar w:fldCharType="separate"/>
            </w:r>
            <w:r w:rsidR="006F4EC3">
              <w:rPr>
                <w:noProof/>
                <w:webHidden/>
              </w:rPr>
              <w:t>8</w:t>
            </w:r>
            <w:r w:rsidR="006F4EC3">
              <w:rPr>
                <w:noProof/>
                <w:webHidden/>
              </w:rPr>
              <w:fldChar w:fldCharType="end"/>
            </w:r>
          </w:hyperlink>
        </w:p>
        <w:p w14:paraId="7104FFE0" w14:textId="1C00CC4D" w:rsidR="006F4EC3" w:rsidRDefault="00900B8E">
          <w:pPr>
            <w:pStyle w:val="TOC1"/>
            <w:rPr>
              <w:rFonts w:asciiTheme="minorHAnsi" w:eastAsiaTheme="minorEastAsia" w:hAnsiTheme="minorHAnsi" w:cstheme="minorBidi"/>
              <w:kern w:val="2"/>
              <w:sz w:val="22"/>
              <w:szCs w:val="22"/>
              <w14:ligatures w14:val="standardContextual"/>
            </w:rPr>
          </w:pPr>
          <w:hyperlink w:anchor="_Toc150245657" w:history="1">
            <w:r w:rsidR="006F4EC3" w:rsidRPr="00660EC2">
              <w:rPr>
                <w:rStyle w:val="Hyperlink"/>
              </w:rPr>
              <w:t>1.2</w:t>
            </w:r>
            <w:r w:rsidR="006F4EC3">
              <w:rPr>
                <w:rFonts w:asciiTheme="minorHAnsi" w:eastAsiaTheme="minorEastAsia" w:hAnsiTheme="minorHAnsi" w:cstheme="minorBidi"/>
                <w:kern w:val="2"/>
                <w:sz w:val="22"/>
                <w:szCs w:val="22"/>
                <w14:ligatures w14:val="standardContextual"/>
              </w:rPr>
              <w:tab/>
            </w:r>
            <w:r w:rsidR="007B3167">
              <w:rPr>
                <w:rFonts w:asciiTheme="minorHAnsi" w:eastAsiaTheme="minorEastAsia" w:hAnsiTheme="minorHAnsi" w:cstheme="minorBidi"/>
                <w:kern w:val="2"/>
                <w:sz w:val="22"/>
                <w:szCs w:val="22"/>
                <w14:ligatures w14:val="standardContextual"/>
              </w:rPr>
              <w:t xml:space="preserve"> </w:t>
            </w:r>
            <w:r w:rsidR="006F4EC3" w:rsidRPr="00660EC2">
              <w:rPr>
                <w:rStyle w:val="Hyperlink"/>
              </w:rPr>
              <w:t>Frequency rate</w:t>
            </w:r>
            <w:r w:rsidR="006F4EC3">
              <w:rPr>
                <w:webHidden/>
              </w:rPr>
              <w:tab/>
            </w:r>
            <w:r w:rsidR="006F4EC3">
              <w:rPr>
                <w:webHidden/>
              </w:rPr>
              <w:fldChar w:fldCharType="begin"/>
            </w:r>
            <w:r w:rsidR="006F4EC3">
              <w:rPr>
                <w:webHidden/>
              </w:rPr>
              <w:instrText xml:space="preserve"> PAGEREF _Toc150245657 \h </w:instrText>
            </w:r>
            <w:r w:rsidR="006F4EC3">
              <w:rPr>
                <w:webHidden/>
              </w:rPr>
            </w:r>
            <w:r w:rsidR="006F4EC3">
              <w:rPr>
                <w:webHidden/>
              </w:rPr>
              <w:fldChar w:fldCharType="separate"/>
            </w:r>
            <w:r w:rsidR="006F4EC3">
              <w:rPr>
                <w:webHidden/>
              </w:rPr>
              <w:t>9</w:t>
            </w:r>
            <w:r w:rsidR="006F4EC3">
              <w:rPr>
                <w:webHidden/>
              </w:rPr>
              <w:fldChar w:fldCharType="end"/>
            </w:r>
          </w:hyperlink>
        </w:p>
        <w:p w14:paraId="67D9315A" w14:textId="56A442A3"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58" w:history="1">
            <w:r w:rsidR="006F4EC3" w:rsidRPr="00660EC2">
              <w:rPr>
                <w:rStyle w:val="Hyperlink"/>
                <w:noProof/>
              </w:rPr>
              <w:t>Frequency rate of serious injury claims by jurisdiction</w:t>
            </w:r>
            <w:r w:rsidR="006F4EC3">
              <w:rPr>
                <w:noProof/>
                <w:webHidden/>
              </w:rPr>
              <w:tab/>
            </w:r>
            <w:r w:rsidR="006F4EC3">
              <w:rPr>
                <w:noProof/>
                <w:webHidden/>
              </w:rPr>
              <w:fldChar w:fldCharType="begin"/>
            </w:r>
            <w:r w:rsidR="006F4EC3">
              <w:rPr>
                <w:noProof/>
                <w:webHidden/>
              </w:rPr>
              <w:instrText xml:space="preserve"> PAGEREF _Toc150245658 \h </w:instrText>
            </w:r>
            <w:r w:rsidR="006F4EC3">
              <w:rPr>
                <w:noProof/>
                <w:webHidden/>
              </w:rPr>
            </w:r>
            <w:r w:rsidR="006F4EC3">
              <w:rPr>
                <w:noProof/>
                <w:webHidden/>
              </w:rPr>
              <w:fldChar w:fldCharType="separate"/>
            </w:r>
            <w:r w:rsidR="006F4EC3">
              <w:rPr>
                <w:noProof/>
                <w:webHidden/>
              </w:rPr>
              <w:t>9</w:t>
            </w:r>
            <w:r w:rsidR="006F4EC3">
              <w:rPr>
                <w:noProof/>
                <w:webHidden/>
              </w:rPr>
              <w:fldChar w:fldCharType="end"/>
            </w:r>
          </w:hyperlink>
        </w:p>
        <w:p w14:paraId="12474900" w14:textId="5FC3C95F" w:rsidR="006F4EC3" w:rsidRDefault="00900B8E">
          <w:pPr>
            <w:pStyle w:val="TOC1"/>
            <w:rPr>
              <w:rFonts w:asciiTheme="minorHAnsi" w:eastAsiaTheme="minorEastAsia" w:hAnsiTheme="minorHAnsi" w:cstheme="minorBidi"/>
              <w:kern w:val="2"/>
              <w:sz w:val="22"/>
              <w:szCs w:val="22"/>
              <w14:ligatures w14:val="standardContextual"/>
            </w:rPr>
          </w:pPr>
          <w:hyperlink w:anchor="_Toc150245659" w:history="1">
            <w:r w:rsidR="006F4EC3" w:rsidRPr="00660EC2">
              <w:rPr>
                <w:rStyle w:val="Hyperlink"/>
              </w:rPr>
              <w:t>1.3 Long term incidence and frequency rates</w:t>
            </w:r>
            <w:r w:rsidR="006F4EC3">
              <w:rPr>
                <w:webHidden/>
              </w:rPr>
              <w:tab/>
            </w:r>
            <w:r w:rsidR="006F4EC3">
              <w:rPr>
                <w:webHidden/>
              </w:rPr>
              <w:fldChar w:fldCharType="begin"/>
            </w:r>
            <w:r w:rsidR="006F4EC3">
              <w:rPr>
                <w:webHidden/>
              </w:rPr>
              <w:instrText xml:space="preserve"> PAGEREF _Toc150245659 \h </w:instrText>
            </w:r>
            <w:r w:rsidR="006F4EC3">
              <w:rPr>
                <w:webHidden/>
              </w:rPr>
            </w:r>
            <w:r w:rsidR="006F4EC3">
              <w:rPr>
                <w:webHidden/>
              </w:rPr>
              <w:fldChar w:fldCharType="separate"/>
            </w:r>
            <w:r w:rsidR="006F4EC3">
              <w:rPr>
                <w:webHidden/>
              </w:rPr>
              <w:t>10</w:t>
            </w:r>
            <w:r w:rsidR="006F4EC3">
              <w:rPr>
                <w:webHidden/>
              </w:rPr>
              <w:fldChar w:fldCharType="end"/>
            </w:r>
          </w:hyperlink>
        </w:p>
        <w:p w14:paraId="53C84FC7" w14:textId="769D3E47"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60" w:history="1">
            <w:r w:rsidR="006F4EC3" w:rsidRPr="00660EC2">
              <w:rPr>
                <w:rStyle w:val="Hyperlink"/>
                <w:noProof/>
              </w:rPr>
              <w:t>Incidence rates of long term (12 weeks or more compensation) injury and disease claims by jurisdiction</w:t>
            </w:r>
            <w:r w:rsidR="006F4EC3">
              <w:rPr>
                <w:noProof/>
                <w:webHidden/>
              </w:rPr>
              <w:tab/>
            </w:r>
            <w:r w:rsidR="006F4EC3">
              <w:rPr>
                <w:noProof/>
                <w:webHidden/>
              </w:rPr>
              <w:fldChar w:fldCharType="begin"/>
            </w:r>
            <w:r w:rsidR="006F4EC3">
              <w:rPr>
                <w:noProof/>
                <w:webHidden/>
              </w:rPr>
              <w:instrText xml:space="preserve"> PAGEREF _Toc150245660 \h </w:instrText>
            </w:r>
            <w:r w:rsidR="006F4EC3">
              <w:rPr>
                <w:noProof/>
                <w:webHidden/>
              </w:rPr>
            </w:r>
            <w:r w:rsidR="006F4EC3">
              <w:rPr>
                <w:noProof/>
                <w:webHidden/>
              </w:rPr>
              <w:fldChar w:fldCharType="separate"/>
            </w:r>
            <w:r w:rsidR="006F4EC3">
              <w:rPr>
                <w:noProof/>
                <w:webHidden/>
              </w:rPr>
              <w:t>10</w:t>
            </w:r>
            <w:r w:rsidR="006F4EC3">
              <w:rPr>
                <w:noProof/>
                <w:webHidden/>
              </w:rPr>
              <w:fldChar w:fldCharType="end"/>
            </w:r>
          </w:hyperlink>
        </w:p>
        <w:p w14:paraId="46A969C6" w14:textId="096B2C8C"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61" w:history="1">
            <w:r w:rsidR="006F4EC3" w:rsidRPr="00660EC2">
              <w:rPr>
                <w:rStyle w:val="Hyperlink"/>
                <w:noProof/>
              </w:rPr>
              <w:t>Frequency rate of long term (12 weeks or more compensation) injury and disease claims by jurisdiction</w:t>
            </w:r>
            <w:r w:rsidR="006F4EC3">
              <w:rPr>
                <w:noProof/>
                <w:webHidden/>
              </w:rPr>
              <w:tab/>
            </w:r>
            <w:r w:rsidR="006F4EC3">
              <w:rPr>
                <w:noProof/>
                <w:webHidden/>
              </w:rPr>
              <w:fldChar w:fldCharType="begin"/>
            </w:r>
            <w:r w:rsidR="006F4EC3">
              <w:rPr>
                <w:noProof/>
                <w:webHidden/>
              </w:rPr>
              <w:instrText xml:space="preserve"> PAGEREF _Toc150245661 \h </w:instrText>
            </w:r>
            <w:r w:rsidR="006F4EC3">
              <w:rPr>
                <w:noProof/>
                <w:webHidden/>
              </w:rPr>
            </w:r>
            <w:r w:rsidR="006F4EC3">
              <w:rPr>
                <w:noProof/>
                <w:webHidden/>
              </w:rPr>
              <w:fldChar w:fldCharType="separate"/>
            </w:r>
            <w:r w:rsidR="006F4EC3">
              <w:rPr>
                <w:noProof/>
                <w:webHidden/>
              </w:rPr>
              <w:t>10</w:t>
            </w:r>
            <w:r w:rsidR="006F4EC3">
              <w:rPr>
                <w:noProof/>
                <w:webHidden/>
              </w:rPr>
              <w:fldChar w:fldCharType="end"/>
            </w:r>
          </w:hyperlink>
        </w:p>
        <w:p w14:paraId="6C4B9AA8" w14:textId="19F10189" w:rsidR="006F4EC3" w:rsidRDefault="00900B8E">
          <w:pPr>
            <w:pStyle w:val="TOC1"/>
            <w:rPr>
              <w:rFonts w:asciiTheme="minorHAnsi" w:eastAsiaTheme="minorEastAsia" w:hAnsiTheme="minorHAnsi" w:cstheme="minorBidi"/>
              <w:kern w:val="2"/>
              <w:sz w:val="22"/>
              <w:szCs w:val="22"/>
              <w14:ligatures w14:val="standardContextual"/>
            </w:rPr>
          </w:pPr>
          <w:hyperlink w:anchor="_Toc150245662" w:history="1">
            <w:r w:rsidR="006F4EC3" w:rsidRPr="00660EC2">
              <w:rPr>
                <w:rStyle w:val="Hyperlink"/>
              </w:rPr>
              <w:t>1.4 Self-insured serious claims</w:t>
            </w:r>
            <w:r w:rsidR="006F4EC3">
              <w:rPr>
                <w:webHidden/>
              </w:rPr>
              <w:tab/>
            </w:r>
            <w:r w:rsidR="006F4EC3">
              <w:rPr>
                <w:webHidden/>
              </w:rPr>
              <w:fldChar w:fldCharType="begin"/>
            </w:r>
            <w:r w:rsidR="006F4EC3">
              <w:rPr>
                <w:webHidden/>
              </w:rPr>
              <w:instrText xml:space="preserve"> PAGEREF _Toc150245662 \h </w:instrText>
            </w:r>
            <w:r w:rsidR="006F4EC3">
              <w:rPr>
                <w:webHidden/>
              </w:rPr>
            </w:r>
            <w:r w:rsidR="006F4EC3">
              <w:rPr>
                <w:webHidden/>
              </w:rPr>
              <w:fldChar w:fldCharType="separate"/>
            </w:r>
            <w:r w:rsidR="006F4EC3">
              <w:rPr>
                <w:webHidden/>
              </w:rPr>
              <w:t>11</w:t>
            </w:r>
            <w:r w:rsidR="006F4EC3">
              <w:rPr>
                <w:webHidden/>
              </w:rPr>
              <w:fldChar w:fldCharType="end"/>
            </w:r>
          </w:hyperlink>
        </w:p>
        <w:p w14:paraId="2B79150B" w14:textId="6F98A8FC"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63" w:history="1">
            <w:r w:rsidR="006F4EC3" w:rsidRPr="00660EC2">
              <w:rPr>
                <w:rStyle w:val="Hyperlink"/>
                <w:noProof/>
              </w:rPr>
              <w:t>Self-insured claims: number of serious claims by jurisdiction</w:t>
            </w:r>
            <w:r w:rsidR="006F4EC3">
              <w:rPr>
                <w:noProof/>
                <w:webHidden/>
              </w:rPr>
              <w:tab/>
            </w:r>
            <w:r w:rsidR="006F4EC3">
              <w:rPr>
                <w:noProof/>
                <w:webHidden/>
              </w:rPr>
              <w:fldChar w:fldCharType="begin"/>
            </w:r>
            <w:r w:rsidR="006F4EC3">
              <w:rPr>
                <w:noProof/>
                <w:webHidden/>
              </w:rPr>
              <w:instrText xml:space="preserve"> PAGEREF _Toc150245663 \h </w:instrText>
            </w:r>
            <w:r w:rsidR="006F4EC3">
              <w:rPr>
                <w:noProof/>
                <w:webHidden/>
              </w:rPr>
            </w:r>
            <w:r w:rsidR="006F4EC3">
              <w:rPr>
                <w:noProof/>
                <w:webHidden/>
              </w:rPr>
              <w:fldChar w:fldCharType="separate"/>
            </w:r>
            <w:r w:rsidR="006F4EC3">
              <w:rPr>
                <w:noProof/>
                <w:webHidden/>
              </w:rPr>
              <w:t>11</w:t>
            </w:r>
            <w:r w:rsidR="006F4EC3">
              <w:rPr>
                <w:noProof/>
                <w:webHidden/>
              </w:rPr>
              <w:fldChar w:fldCharType="end"/>
            </w:r>
          </w:hyperlink>
        </w:p>
        <w:p w14:paraId="5F292421" w14:textId="4E97B93E"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64" w:history="1">
            <w:r w:rsidR="006F4EC3" w:rsidRPr="00660EC2">
              <w:rPr>
                <w:rStyle w:val="Hyperlink"/>
                <w:noProof/>
              </w:rPr>
              <w:t>Self-insured claims as a proportion of serious claims by jurisdiction (%)</w:t>
            </w:r>
            <w:r w:rsidR="006F4EC3">
              <w:rPr>
                <w:noProof/>
                <w:webHidden/>
              </w:rPr>
              <w:tab/>
            </w:r>
            <w:r w:rsidR="006F4EC3">
              <w:rPr>
                <w:noProof/>
                <w:webHidden/>
              </w:rPr>
              <w:fldChar w:fldCharType="begin"/>
            </w:r>
            <w:r w:rsidR="006F4EC3">
              <w:rPr>
                <w:noProof/>
                <w:webHidden/>
              </w:rPr>
              <w:instrText xml:space="preserve"> PAGEREF _Toc150245664 \h </w:instrText>
            </w:r>
            <w:r w:rsidR="006F4EC3">
              <w:rPr>
                <w:noProof/>
                <w:webHidden/>
              </w:rPr>
            </w:r>
            <w:r w:rsidR="006F4EC3">
              <w:rPr>
                <w:noProof/>
                <w:webHidden/>
              </w:rPr>
              <w:fldChar w:fldCharType="separate"/>
            </w:r>
            <w:r w:rsidR="006F4EC3">
              <w:rPr>
                <w:noProof/>
                <w:webHidden/>
              </w:rPr>
              <w:t>11</w:t>
            </w:r>
            <w:r w:rsidR="006F4EC3">
              <w:rPr>
                <w:noProof/>
                <w:webHidden/>
              </w:rPr>
              <w:fldChar w:fldCharType="end"/>
            </w:r>
          </w:hyperlink>
        </w:p>
        <w:p w14:paraId="485BFDB9" w14:textId="461FAA94" w:rsidR="006F4EC3" w:rsidRDefault="00900B8E">
          <w:pPr>
            <w:pStyle w:val="TOC1"/>
            <w:rPr>
              <w:rFonts w:asciiTheme="minorHAnsi" w:eastAsiaTheme="minorEastAsia" w:hAnsiTheme="minorHAnsi" w:cstheme="minorBidi"/>
              <w:kern w:val="2"/>
              <w:sz w:val="22"/>
              <w:szCs w:val="22"/>
              <w14:ligatures w14:val="standardContextual"/>
            </w:rPr>
          </w:pPr>
          <w:hyperlink w:anchor="_Toc150245665" w:history="1">
            <w:r w:rsidR="006F4EC3" w:rsidRPr="00660EC2">
              <w:rPr>
                <w:rStyle w:val="Hyperlink"/>
              </w:rPr>
              <w:t>2.</w:t>
            </w:r>
            <w:r w:rsidR="006F4EC3">
              <w:rPr>
                <w:rFonts w:asciiTheme="minorHAnsi" w:eastAsiaTheme="minorEastAsia" w:hAnsiTheme="minorHAnsi" w:cstheme="minorBidi"/>
                <w:kern w:val="2"/>
                <w:sz w:val="22"/>
                <w:szCs w:val="22"/>
                <w14:ligatures w14:val="standardContextual"/>
              </w:rPr>
              <w:tab/>
            </w:r>
            <w:r w:rsidR="006F4EC3" w:rsidRPr="00660EC2">
              <w:rPr>
                <w:rStyle w:val="Hyperlink"/>
              </w:rPr>
              <w:t>Duration of absence</w:t>
            </w:r>
            <w:r w:rsidR="006F4EC3">
              <w:rPr>
                <w:webHidden/>
              </w:rPr>
              <w:tab/>
            </w:r>
            <w:r w:rsidR="006F4EC3">
              <w:rPr>
                <w:webHidden/>
              </w:rPr>
              <w:fldChar w:fldCharType="begin"/>
            </w:r>
            <w:r w:rsidR="006F4EC3">
              <w:rPr>
                <w:webHidden/>
              </w:rPr>
              <w:instrText xml:space="preserve"> PAGEREF _Toc150245665 \h </w:instrText>
            </w:r>
            <w:r w:rsidR="006F4EC3">
              <w:rPr>
                <w:webHidden/>
              </w:rPr>
            </w:r>
            <w:r w:rsidR="006F4EC3">
              <w:rPr>
                <w:webHidden/>
              </w:rPr>
              <w:fldChar w:fldCharType="separate"/>
            </w:r>
            <w:r w:rsidR="006F4EC3">
              <w:rPr>
                <w:webHidden/>
              </w:rPr>
              <w:t>12</w:t>
            </w:r>
            <w:r w:rsidR="006F4EC3">
              <w:rPr>
                <w:webHidden/>
              </w:rPr>
              <w:fldChar w:fldCharType="end"/>
            </w:r>
          </w:hyperlink>
        </w:p>
        <w:p w14:paraId="0C218617" w14:textId="2DAA565E"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66" w:history="1">
            <w:r w:rsidR="006F4EC3" w:rsidRPr="00660EC2">
              <w:rPr>
                <w:rStyle w:val="Hyperlink"/>
                <w:noProof/>
              </w:rPr>
              <w:t>Serious claims: Percentage involving selected periods of compensation (%), 2020–21</w:t>
            </w:r>
            <w:r w:rsidR="006F4EC3">
              <w:rPr>
                <w:noProof/>
                <w:webHidden/>
              </w:rPr>
              <w:tab/>
            </w:r>
            <w:r w:rsidR="006F4EC3">
              <w:rPr>
                <w:noProof/>
                <w:webHidden/>
              </w:rPr>
              <w:fldChar w:fldCharType="begin"/>
            </w:r>
            <w:r w:rsidR="006F4EC3">
              <w:rPr>
                <w:noProof/>
                <w:webHidden/>
              </w:rPr>
              <w:instrText xml:space="preserve"> PAGEREF _Toc150245666 \h </w:instrText>
            </w:r>
            <w:r w:rsidR="006F4EC3">
              <w:rPr>
                <w:noProof/>
                <w:webHidden/>
              </w:rPr>
            </w:r>
            <w:r w:rsidR="006F4EC3">
              <w:rPr>
                <w:noProof/>
                <w:webHidden/>
              </w:rPr>
              <w:fldChar w:fldCharType="separate"/>
            </w:r>
            <w:r w:rsidR="006F4EC3">
              <w:rPr>
                <w:noProof/>
                <w:webHidden/>
              </w:rPr>
              <w:t>12</w:t>
            </w:r>
            <w:r w:rsidR="006F4EC3">
              <w:rPr>
                <w:noProof/>
                <w:webHidden/>
              </w:rPr>
              <w:fldChar w:fldCharType="end"/>
            </w:r>
          </w:hyperlink>
        </w:p>
        <w:p w14:paraId="7D21D8B3" w14:textId="55C9F457" w:rsidR="006F4EC3" w:rsidRDefault="00900B8E">
          <w:pPr>
            <w:pStyle w:val="TOC1"/>
            <w:rPr>
              <w:rFonts w:asciiTheme="minorHAnsi" w:eastAsiaTheme="minorEastAsia" w:hAnsiTheme="minorHAnsi" w:cstheme="minorBidi"/>
              <w:kern w:val="2"/>
              <w:sz w:val="22"/>
              <w:szCs w:val="22"/>
              <w14:ligatures w14:val="standardContextual"/>
            </w:rPr>
          </w:pPr>
          <w:hyperlink w:anchor="_Toc150245667" w:history="1">
            <w:r w:rsidR="006F4EC3" w:rsidRPr="00660EC2">
              <w:rPr>
                <w:rStyle w:val="Hyperlink"/>
              </w:rPr>
              <w:t>3.</w:t>
            </w:r>
            <w:r w:rsidR="006F4EC3">
              <w:rPr>
                <w:rFonts w:asciiTheme="minorHAnsi" w:eastAsiaTheme="minorEastAsia" w:hAnsiTheme="minorHAnsi" w:cstheme="minorBidi"/>
                <w:kern w:val="2"/>
                <w:sz w:val="22"/>
                <w:szCs w:val="22"/>
                <w14:ligatures w14:val="standardContextual"/>
              </w:rPr>
              <w:tab/>
            </w:r>
            <w:r w:rsidR="006F4EC3" w:rsidRPr="00660EC2">
              <w:rPr>
                <w:rStyle w:val="Hyperlink"/>
              </w:rPr>
              <w:t>Work-related fatalities</w:t>
            </w:r>
            <w:r w:rsidR="006F4EC3">
              <w:rPr>
                <w:webHidden/>
              </w:rPr>
              <w:tab/>
            </w:r>
            <w:r w:rsidR="006F4EC3">
              <w:rPr>
                <w:webHidden/>
              </w:rPr>
              <w:fldChar w:fldCharType="begin"/>
            </w:r>
            <w:r w:rsidR="006F4EC3">
              <w:rPr>
                <w:webHidden/>
              </w:rPr>
              <w:instrText xml:space="preserve"> PAGEREF _Toc150245667 \h </w:instrText>
            </w:r>
            <w:r w:rsidR="006F4EC3">
              <w:rPr>
                <w:webHidden/>
              </w:rPr>
            </w:r>
            <w:r w:rsidR="006F4EC3">
              <w:rPr>
                <w:webHidden/>
              </w:rPr>
              <w:fldChar w:fldCharType="separate"/>
            </w:r>
            <w:r w:rsidR="006F4EC3">
              <w:rPr>
                <w:webHidden/>
              </w:rPr>
              <w:t>13</w:t>
            </w:r>
            <w:r w:rsidR="006F4EC3">
              <w:rPr>
                <w:webHidden/>
              </w:rPr>
              <w:fldChar w:fldCharType="end"/>
            </w:r>
          </w:hyperlink>
        </w:p>
        <w:p w14:paraId="16833BA6" w14:textId="65AA69EE" w:rsidR="006F4EC3" w:rsidRDefault="00900B8E">
          <w:pPr>
            <w:pStyle w:val="TOC1"/>
            <w:rPr>
              <w:rFonts w:asciiTheme="minorHAnsi" w:eastAsiaTheme="minorEastAsia" w:hAnsiTheme="minorHAnsi" w:cstheme="minorBidi"/>
              <w:kern w:val="2"/>
              <w:sz w:val="22"/>
              <w:szCs w:val="22"/>
              <w14:ligatures w14:val="standardContextual"/>
            </w:rPr>
          </w:pPr>
          <w:hyperlink w:anchor="_Toc150245668" w:history="1">
            <w:r w:rsidR="006F4EC3" w:rsidRPr="00660EC2">
              <w:rPr>
                <w:rStyle w:val="Hyperlink"/>
              </w:rPr>
              <w:t>3.1</w:t>
            </w:r>
            <w:r w:rsidR="006F4EC3">
              <w:rPr>
                <w:rFonts w:asciiTheme="minorHAnsi" w:eastAsiaTheme="minorEastAsia" w:hAnsiTheme="minorHAnsi" w:cstheme="minorBidi"/>
                <w:kern w:val="2"/>
                <w:sz w:val="22"/>
                <w:szCs w:val="22"/>
                <w14:ligatures w14:val="standardContextual"/>
              </w:rPr>
              <w:tab/>
            </w:r>
            <w:r w:rsidR="007B3167">
              <w:rPr>
                <w:rFonts w:asciiTheme="minorHAnsi" w:eastAsiaTheme="minorEastAsia" w:hAnsiTheme="minorHAnsi" w:cstheme="minorBidi"/>
                <w:kern w:val="2"/>
                <w:sz w:val="22"/>
                <w:szCs w:val="22"/>
                <w14:ligatures w14:val="standardContextual"/>
              </w:rPr>
              <w:t xml:space="preserve"> </w:t>
            </w:r>
            <w:r w:rsidR="006F4EC3" w:rsidRPr="00660EC2">
              <w:rPr>
                <w:rStyle w:val="Hyperlink"/>
              </w:rPr>
              <w:t>Work-related traumatic injury fatalities</w:t>
            </w:r>
            <w:r w:rsidR="006F4EC3">
              <w:rPr>
                <w:webHidden/>
              </w:rPr>
              <w:tab/>
            </w:r>
            <w:r w:rsidR="006F4EC3">
              <w:rPr>
                <w:webHidden/>
              </w:rPr>
              <w:fldChar w:fldCharType="begin"/>
            </w:r>
            <w:r w:rsidR="006F4EC3">
              <w:rPr>
                <w:webHidden/>
              </w:rPr>
              <w:instrText xml:space="preserve"> PAGEREF _Toc150245668 \h </w:instrText>
            </w:r>
            <w:r w:rsidR="006F4EC3">
              <w:rPr>
                <w:webHidden/>
              </w:rPr>
            </w:r>
            <w:r w:rsidR="006F4EC3">
              <w:rPr>
                <w:webHidden/>
              </w:rPr>
              <w:fldChar w:fldCharType="separate"/>
            </w:r>
            <w:r w:rsidR="006F4EC3">
              <w:rPr>
                <w:webHidden/>
              </w:rPr>
              <w:t>13</w:t>
            </w:r>
            <w:r w:rsidR="006F4EC3">
              <w:rPr>
                <w:webHidden/>
              </w:rPr>
              <w:fldChar w:fldCharType="end"/>
            </w:r>
          </w:hyperlink>
        </w:p>
        <w:p w14:paraId="43940315" w14:textId="3A5E0DC5"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69" w:history="1">
            <w:r w:rsidR="006F4EC3" w:rsidRPr="00660EC2">
              <w:rPr>
                <w:rStyle w:val="Hyperlink"/>
                <w:noProof/>
              </w:rPr>
              <w:t xml:space="preserve">Traumatic injury worker fatalities: number of incidents not on a public road, by </w:t>
            </w:r>
            <w:r w:rsidR="006F4EC3">
              <w:rPr>
                <w:rStyle w:val="Hyperlink"/>
                <w:noProof/>
              </w:rPr>
              <w:t xml:space="preserve">                       </w:t>
            </w:r>
            <w:r w:rsidR="006F4EC3" w:rsidRPr="00660EC2">
              <w:rPr>
                <w:rStyle w:val="Hyperlink"/>
                <w:noProof/>
              </w:rPr>
              <w:t>state</w:t>
            </w:r>
            <w:r w:rsidR="006F4EC3">
              <w:rPr>
                <w:rStyle w:val="Hyperlink"/>
                <w:noProof/>
              </w:rPr>
              <w:t xml:space="preserve"> </w:t>
            </w:r>
            <w:r w:rsidR="006F4EC3" w:rsidRPr="00660EC2">
              <w:rPr>
                <w:rStyle w:val="Hyperlink"/>
                <w:noProof/>
              </w:rPr>
              <w:t>of</w:t>
            </w:r>
            <w:r w:rsidR="006F4EC3">
              <w:rPr>
                <w:rStyle w:val="Hyperlink"/>
                <w:noProof/>
              </w:rPr>
              <w:t xml:space="preserve"> </w:t>
            </w:r>
            <w:r w:rsidR="006F4EC3" w:rsidRPr="00660EC2">
              <w:rPr>
                <w:rStyle w:val="Hyperlink"/>
                <w:noProof/>
              </w:rPr>
              <w:t>death</w:t>
            </w:r>
            <w:r w:rsidR="006F4EC3">
              <w:rPr>
                <w:rStyle w:val="Hyperlink"/>
                <w:noProof/>
              </w:rPr>
              <w:t xml:space="preserve"> </w:t>
            </w:r>
            <w:r w:rsidR="006F4EC3">
              <w:rPr>
                <w:noProof/>
                <w:webHidden/>
              </w:rPr>
              <w:tab/>
            </w:r>
            <w:r w:rsidR="006F4EC3">
              <w:rPr>
                <w:noProof/>
                <w:webHidden/>
              </w:rPr>
              <w:fldChar w:fldCharType="begin"/>
            </w:r>
            <w:r w:rsidR="006F4EC3">
              <w:rPr>
                <w:noProof/>
                <w:webHidden/>
              </w:rPr>
              <w:instrText xml:space="preserve"> PAGEREF _Toc150245669 \h </w:instrText>
            </w:r>
            <w:r w:rsidR="006F4EC3">
              <w:rPr>
                <w:noProof/>
                <w:webHidden/>
              </w:rPr>
            </w:r>
            <w:r w:rsidR="006F4EC3">
              <w:rPr>
                <w:noProof/>
                <w:webHidden/>
              </w:rPr>
              <w:fldChar w:fldCharType="separate"/>
            </w:r>
            <w:r w:rsidR="006F4EC3">
              <w:rPr>
                <w:noProof/>
                <w:webHidden/>
              </w:rPr>
              <w:t>13</w:t>
            </w:r>
            <w:r w:rsidR="006F4EC3">
              <w:rPr>
                <w:noProof/>
                <w:webHidden/>
              </w:rPr>
              <w:fldChar w:fldCharType="end"/>
            </w:r>
          </w:hyperlink>
        </w:p>
        <w:p w14:paraId="204703D0" w14:textId="56FB0DBF"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70" w:history="1">
            <w:r w:rsidR="006F4EC3" w:rsidRPr="00660EC2">
              <w:rPr>
                <w:rStyle w:val="Hyperlink"/>
                <w:noProof/>
              </w:rPr>
              <w:t>Traumatic injury fatalities: incidence rate per 100,000 workers for incidents not on a public road, by state of death</w:t>
            </w:r>
            <w:r w:rsidR="006F4EC3">
              <w:rPr>
                <w:noProof/>
                <w:webHidden/>
              </w:rPr>
              <w:tab/>
            </w:r>
            <w:r w:rsidR="006F4EC3">
              <w:rPr>
                <w:noProof/>
                <w:webHidden/>
              </w:rPr>
              <w:fldChar w:fldCharType="begin"/>
            </w:r>
            <w:r w:rsidR="006F4EC3">
              <w:rPr>
                <w:noProof/>
                <w:webHidden/>
              </w:rPr>
              <w:instrText xml:space="preserve"> PAGEREF _Toc150245670 \h </w:instrText>
            </w:r>
            <w:r w:rsidR="006F4EC3">
              <w:rPr>
                <w:noProof/>
                <w:webHidden/>
              </w:rPr>
            </w:r>
            <w:r w:rsidR="006F4EC3">
              <w:rPr>
                <w:noProof/>
                <w:webHidden/>
              </w:rPr>
              <w:fldChar w:fldCharType="separate"/>
            </w:r>
            <w:r w:rsidR="006F4EC3">
              <w:rPr>
                <w:noProof/>
                <w:webHidden/>
              </w:rPr>
              <w:t>13</w:t>
            </w:r>
            <w:r w:rsidR="006F4EC3">
              <w:rPr>
                <w:noProof/>
                <w:webHidden/>
              </w:rPr>
              <w:fldChar w:fldCharType="end"/>
            </w:r>
          </w:hyperlink>
        </w:p>
        <w:p w14:paraId="5F6A0B77" w14:textId="0102A7E1" w:rsidR="006F4EC3" w:rsidRDefault="00900B8E">
          <w:pPr>
            <w:pStyle w:val="TOC1"/>
            <w:rPr>
              <w:rFonts w:asciiTheme="minorHAnsi" w:eastAsiaTheme="minorEastAsia" w:hAnsiTheme="minorHAnsi" w:cstheme="minorBidi"/>
              <w:kern w:val="2"/>
              <w:sz w:val="22"/>
              <w:szCs w:val="22"/>
              <w14:ligatures w14:val="standardContextual"/>
            </w:rPr>
          </w:pPr>
          <w:hyperlink w:anchor="_Toc150245671" w:history="1">
            <w:r w:rsidR="006F4EC3" w:rsidRPr="00660EC2">
              <w:rPr>
                <w:rStyle w:val="Hyperlink"/>
              </w:rPr>
              <w:t>3.2</w:t>
            </w:r>
            <w:r w:rsidR="006F4EC3">
              <w:rPr>
                <w:rFonts w:asciiTheme="minorHAnsi" w:eastAsiaTheme="minorEastAsia" w:hAnsiTheme="minorHAnsi" w:cstheme="minorBidi"/>
                <w:kern w:val="2"/>
                <w:sz w:val="22"/>
                <w:szCs w:val="22"/>
                <w14:ligatures w14:val="standardContextual"/>
              </w:rPr>
              <w:tab/>
            </w:r>
            <w:r w:rsidR="00B11D27">
              <w:rPr>
                <w:rFonts w:asciiTheme="minorHAnsi" w:eastAsiaTheme="minorEastAsia" w:hAnsiTheme="minorHAnsi" w:cstheme="minorBidi"/>
                <w:kern w:val="2"/>
                <w:sz w:val="22"/>
                <w:szCs w:val="22"/>
                <w14:ligatures w14:val="standardContextual"/>
              </w:rPr>
              <w:t xml:space="preserve"> </w:t>
            </w:r>
            <w:r w:rsidR="006F4EC3" w:rsidRPr="00660EC2">
              <w:rPr>
                <w:rStyle w:val="Hyperlink"/>
              </w:rPr>
              <w:t>Work-related disease fatalities</w:t>
            </w:r>
            <w:r w:rsidR="006F4EC3">
              <w:rPr>
                <w:webHidden/>
              </w:rPr>
              <w:tab/>
            </w:r>
            <w:r w:rsidR="006F4EC3">
              <w:rPr>
                <w:webHidden/>
              </w:rPr>
              <w:fldChar w:fldCharType="begin"/>
            </w:r>
            <w:r w:rsidR="006F4EC3">
              <w:rPr>
                <w:webHidden/>
              </w:rPr>
              <w:instrText xml:space="preserve"> PAGEREF _Toc150245671 \h </w:instrText>
            </w:r>
            <w:r w:rsidR="006F4EC3">
              <w:rPr>
                <w:webHidden/>
              </w:rPr>
            </w:r>
            <w:r w:rsidR="006F4EC3">
              <w:rPr>
                <w:webHidden/>
              </w:rPr>
              <w:fldChar w:fldCharType="separate"/>
            </w:r>
            <w:r w:rsidR="006F4EC3">
              <w:rPr>
                <w:webHidden/>
              </w:rPr>
              <w:t>14</w:t>
            </w:r>
            <w:r w:rsidR="006F4EC3">
              <w:rPr>
                <w:webHidden/>
              </w:rPr>
              <w:fldChar w:fldCharType="end"/>
            </w:r>
          </w:hyperlink>
        </w:p>
        <w:p w14:paraId="0246CA52" w14:textId="784B2ABB"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72" w:history="1">
            <w:r w:rsidR="006F4EC3" w:rsidRPr="00660EC2">
              <w:rPr>
                <w:rStyle w:val="Hyperlink"/>
                <w:noProof/>
              </w:rPr>
              <w:t>Compensated fatalities involving occupational diseases by jurisdiction</w:t>
            </w:r>
            <w:r w:rsidR="006F4EC3">
              <w:rPr>
                <w:noProof/>
                <w:webHidden/>
              </w:rPr>
              <w:tab/>
            </w:r>
            <w:r w:rsidR="006F4EC3">
              <w:rPr>
                <w:noProof/>
                <w:webHidden/>
              </w:rPr>
              <w:fldChar w:fldCharType="begin"/>
            </w:r>
            <w:r w:rsidR="006F4EC3">
              <w:rPr>
                <w:noProof/>
                <w:webHidden/>
              </w:rPr>
              <w:instrText xml:space="preserve"> PAGEREF _Toc150245672 \h </w:instrText>
            </w:r>
            <w:r w:rsidR="006F4EC3">
              <w:rPr>
                <w:noProof/>
                <w:webHidden/>
              </w:rPr>
            </w:r>
            <w:r w:rsidR="006F4EC3">
              <w:rPr>
                <w:noProof/>
                <w:webHidden/>
              </w:rPr>
              <w:fldChar w:fldCharType="separate"/>
            </w:r>
            <w:r w:rsidR="006F4EC3">
              <w:rPr>
                <w:noProof/>
                <w:webHidden/>
              </w:rPr>
              <w:t>14</w:t>
            </w:r>
            <w:r w:rsidR="006F4EC3">
              <w:rPr>
                <w:noProof/>
                <w:webHidden/>
              </w:rPr>
              <w:fldChar w:fldCharType="end"/>
            </w:r>
          </w:hyperlink>
        </w:p>
        <w:p w14:paraId="70CC6974" w14:textId="176B3834" w:rsidR="006F4EC3" w:rsidRDefault="00900B8E">
          <w:pPr>
            <w:pStyle w:val="TOC1"/>
            <w:rPr>
              <w:rFonts w:asciiTheme="minorHAnsi" w:eastAsiaTheme="minorEastAsia" w:hAnsiTheme="minorHAnsi" w:cstheme="minorBidi"/>
              <w:kern w:val="2"/>
              <w:sz w:val="22"/>
              <w:szCs w:val="22"/>
              <w14:ligatures w14:val="standardContextual"/>
            </w:rPr>
          </w:pPr>
          <w:hyperlink w:anchor="_Toc150245673" w:history="1">
            <w:r w:rsidR="006F4EC3" w:rsidRPr="00660EC2">
              <w:rPr>
                <w:rStyle w:val="Hyperlink"/>
              </w:rPr>
              <w:t>4.</w:t>
            </w:r>
            <w:r w:rsidR="006F4EC3">
              <w:rPr>
                <w:rFonts w:asciiTheme="minorHAnsi" w:eastAsiaTheme="minorEastAsia" w:hAnsiTheme="minorHAnsi" w:cstheme="minorBidi"/>
                <w:kern w:val="2"/>
                <w:sz w:val="22"/>
                <w:szCs w:val="22"/>
                <w14:ligatures w14:val="standardContextual"/>
              </w:rPr>
              <w:tab/>
            </w:r>
            <w:r w:rsidR="006F4EC3" w:rsidRPr="00660EC2">
              <w:rPr>
                <w:rStyle w:val="Hyperlink"/>
              </w:rPr>
              <w:t>Claims by mechanism of incident</w:t>
            </w:r>
            <w:r w:rsidR="006F4EC3">
              <w:rPr>
                <w:webHidden/>
              </w:rPr>
              <w:tab/>
            </w:r>
            <w:r w:rsidR="006F4EC3">
              <w:rPr>
                <w:webHidden/>
              </w:rPr>
              <w:fldChar w:fldCharType="begin"/>
            </w:r>
            <w:r w:rsidR="006F4EC3">
              <w:rPr>
                <w:webHidden/>
              </w:rPr>
              <w:instrText xml:space="preserve"> PAGEREF _Toc150245673 \h </w:instrText>
            </w:r>
            <w:r w:rsidR="006F4EC3">
              <w:rPr>
                <w:webHidden/>
              </w:rPr>
            </w:r>
            <w:r w:rsidR="006F4EC3">
              <w:rPr>
                <w:webHidden/>
              </w:rPr>
              <w:fldChar w:fldCharType="separate"/>
            </w:r>
            <w:r w:rsidR="006F4EC3">
              <w:rPr>
                <w:webHidden/>
              </w:rPr>
              <w:t>15</w:t>
            </w:r>
            <w:r w:rsidR="006F4EC3">
              <w:rPr>
                <w:webHidden/>
              </w:rPr>
              <w:fldChar w:fldCharType="end"/>
            </w:r>
          </w:hyperlink>
        </w:p>
        <w:p w14:paraId="6CF673C9" w14:textId="76B339AC"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74" w:history="1">
            <w:r w:rsidR="006F4EC3" w:rsidRPr="00660EC2">
              <w:rPr>
                <w:rStyle w:val="Hyperlink"/>
                <w:noProof/>
              </w:rPr>
              <w:t>Proportion of serious claims by mechanism of incident, Australia total</w:t>
            </w:r>
            <w:r w:rsidR="006F4EC3">
              <w:rPr>
                <w:noProof/>
                <w:webHidden/>
              </w:rPr>
              <w:tab/>
            </w:r>
            <w:r w:rsidR="006F4EC3">
              <w:rPr>
                <w:noProof/>
                <w:webHidden/>
              </w:rPr>
              <w:fldChar w:fldCharType="begin"/>
            </w:r>
            <w:r w:rsidR="006F4EC3">
              <w:rPr>
                <w:noProof/>
                <w:webHidden/>
              </w:rPr>
              <w:instrText xml:space="preserve"> PAGEREF _Toc150245674 \h </w:instrText>
            </w:r>
            <w:r w:rsidR="006F4EC3">
              <w:rPr>
                <w:noProof/>
                <w:webHidden/>
              </w:rPr>
            </w:r>
            <w:r w:rsidR="006F4EC3">
              <w:rPr>
                <w:noProof/>
                <w:webHidden/>
              </w:rPr>
              <w:fldChar w:fldCharType="separate"/>
            </w:r>
            <w:r w:rsidR="006F4EC3">
              <w:rPr>
                <w:noProof/>
                <w:webHidden/>
              </w:rPr>
              <w:t>15</w:t>
            </w:r>
            <w:r w:rsidR="006F4EC3">
              <w:rPr>
                <w:noProof/>
                <w:webHidden/>
              </w:rPr>
              <w:fldChar w:fldCharType="end"/>
            </w:r>
          </w:hyperlink>
        </w:p>
        <w:p w14:paraId="45C4E579" w14:textId="5DEF1EC1" w:rsidR="006F4EC3" w:rsidRDefault="00900B8E">
          <w:pPr>
            <w:pStyle w:val="TOC1"/>
            <w:rPr>
              <w:rFonts w:asciiTheme="minorHAnsi" w:eastAsiaTheme="minorEastAsia" w:hAnsiTheme="minorHAnsi" w:cstheme="minorBidi"/>
              <w:kern w:val="2"/>
              <w:sz w:val="22"/>
              <w:szCs w:val="22"/>
              <w14:ligatures w14:val="standardContextual"/>
            </w:rPr>
          </w:pPr>
          <w:hyperlink w:anchor="_Toc150245675" w:history="1">
            <w:r w:rsidR="006F4EC3" w:rsidRPr="00660EC2">
              <w:rPr>
                <w:rStyle w:val="Hyperlink"/>
              </w:rPr>
              <w:t>4.1</w:t>
            </w:r>
            <w:r w:rsidR="006F4EC3">
              <w:rPr>
                <w:rFonts w:asciiTheme="minorHAnsi" w:eastAsiaTheme="minorEastAsia" w:hAnsiTheme="minorHAnsi" w:cstheme="minorBidi"/>
                <w:kern w:val="2"/>
                <w:sz w:val="22"/>
                <w:szCs w:val="22"/>
                <w14:ligatures w14:val="standardContextual"/>
              </w:rPr>
              <w:tab/>
            </w:r>
            <w:r w:rsidR="00B11D27">
              <w:rPr>
                <w:rFonts w:asciiTheme="minorHAnsi" w:eastAsiaTheme="minorEastAsia" w:hAnsiTheme="minorHAnsi" w:cstheme="minorBidi"/>
                <w:kern w:val="2"/>
                <w:sz w:val="22"/>
                <w:szCs w:val="22"/>
                <w14:ligatures w14:val="standardContextual"/>
              </w:rPr>
              <w:t xml:space="preserve"> </w:t>
            </w:r>
            <w:r w:rsidR="006F4EC3" w:rsidRPr="00660EC2">
              <w:rPr>
                <w:rStyle w:val="Hyperlink"/>
              </w:rPr>
              <w:t>Claims by mechanism of incident and jurisdiction</w:t>
            </w:r>
            <w:r w:rsidR="006F4EC3">
              <w:rPr>
                <w:webHidden/>
              </w:rPr>
              <w:tab/>
            </w:r>
            <w:r w:rsidR="006F4EC3">
              <w:rPr>
                <w:webHidden/>
              </w:rPr>
              <w:fldChar w:fldCharType="begin"/>
            </w:r>
            <w:r w:rsidR="006F4EC3">
              <w:rPr>
                <w:webHidden/>
              </w:rPr>
              <w:instrText xml:space="preserve"> PAGEREF _Toc150245675 \h </w:instrText>
            </w:r>
            <w:r w:rsidR="006F4EC3">
              <w:rPr>
                <w:webHidden/>
              </w:rPr>
            </w:r>
            <w:r w:rsidR="006F4EC3">
              <w:rPr>
                <w:webHidden/>
              </w:rPr>
              <w:fldChar w:fldCharType="separate"/>
            </w:r>
            <w:r w:rsidR="006F4EC3">
              <w:rPr>
                <w:webHidden/>
              </w:rPr>
              <w:t>15</w:t>
            </w:r>
            <w:r w:rsidR="006F4EC3">
              <w:rPr>
                <w:webHidden/>
              </w:rPr>
              <w:fldChar w:fldCharType="end"/>
            </w:r>
          </w:hyperlink>
        </w:p>
        <w:p w14:paraId="0E2F2198" w14:textId="30E938CE"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77" w:history="1">
            <w:r w:rsidR="006F4EC3" w:rsidRPr="00660EC2">
              <w:rPr>
                <w:rStyle w:val="Hyperlink"/>
                <w:noProof/>
              </w:rPr>
              <w:t>Proportion of serious claims involving Body stressing by jurisdiction</w:t>
            </w:r>
            <w:r w:rsidR="006F4EC3">
              <w:rPr>
                <w:noProof/>
                <w:webHidden/>
              </w:rPr>
              <w:tab/>
            </w:r>
            <w:r w:rsidR="006F4EC3">
              <w:rPr>
                <w:noProof/>
                <w:webHidden/>
              </w:rPr>
              <w:fldChar w:fldCharType="begin"/>
            </w:r>
            <w:r w:rsidR="006F4EC3">
              <w:rPr>
                <w:noProof/>
                <w:webHidden/>
              </w:rPr>
              <w:instrText xml:space="preserve"> PAGEREF _Toc150245677 \h </w:instrText>
            </w:r>
            <w:r w:rsidR="006F4EC3">
              <w:rPr>
                <w:noProof/>
                <w:webHidden/>
              </w:rPr>
            </w:r>
            <w:r w:rsidR="006F4EC3">
              <w:rPr>
                <w:noProof/>
                <w:webHidden/>
              </w:rPr>
              <w:fldChar w:fldCharType="separate"/>
            </w:r>
            <w:r w:rsidR="006F4EC3">
              <w:rPr>
                <w:noProof/>
                <w:webHidden/>
              </w:rPr>
              <w:t>16</w:t>
            </w:r>
            <w:r w:rsidR="006F4EC3">
              <w:rPr>
                <w:noProof/>
                <w:webHidden/>
              </w:rPr>
              <w:fldChar w:fldCharType="end"/>
            </w:r>
          </w:hyperlink>
        </w:p>
        <w:p w14:paraId="4B5918BF" w14:textId="7E34F459"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79" w:history="1">
            <w:r w:rsidR="006F4EC3" w:rsidRPr="00660EC2">
              <w:rPr>
                <w:rStyle w:val="Hyperlink"/>
                <w:noProof/>
              </w:rPr>
              <w:t>Proportion of serious claims involving Falls, trips and slips of a person by jurisdiction</w:t>
            </w:r>
            <w:r w:rsidR="006F4EC3">
              <w:rPr>
                <w:noProof/>
                <w:webHidden/>
              </w:rPr>
              <w:tab/>
            </w:r>
            <w:r w:rsidR="006F4EC3">
              <w:rPr>
                <w:noProof/>
                <w:webHidden/>
              </w:rPr>
              <w:fldChar w:fldCharType="begin"/>
            </w:r>
            <w:r w:rsidR="006F4EC3">
              <w:rPr>
                <w:noProof/>
                <w:webHidden/>
              </w:rPr>
              <w:instrText xml:space="preserve"> PAGEREF _Toc150245679 \h </w:instrText>
            </w:r>
            <w:r w:rsidR="006F4EC3">
              <w:rPr>
                <w:noProof/>
                <w:webHidden/>
              </w:rPr>
            </w:r>
            <w:r w:rsidR="006F4EC3">
              <w:rPr>
                <w:noProof/>
                <w:webHidden/>
              </w:rPr>
              <w:fldChar w:fldCharType="separate"/>
            </w:r>
            <w:r w:rsidR="006F4EC3">
              <w:rPr>
                <w:noProof/>
                <w:webHidden/>
              </w:rPr>
              <w:t>16</w:t>
            </w:r>
            <w:r w:rsidR="006F4EC3">
              <w:rPr>
                <w:noProof/>
                <w:webHidden/>
              </w:rPr>
              <w:fldChar w:fldCharType="end"/>
            </w:r>
          </w:hyperlink>
        </w:p>
        <w:p w14:paraId="784F952C" w14:textId="508EFF67"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81" w:history="1">
            <w:r w:rsidR="006F4EC3" w:rsidRPr="00660EC2">
              <w:rPr>
                <w:rStyle w:val="Hyperlink"/>
                <w:noProof/>
              </w:rPr>
              <w:t>Proportion of serious claims involving Being hit by moving objects by jurisdiction</w:t>
            </w:r>
            <w:r w:rsidR="006F4EC3">
              <w:rPr>
                <w:noProof/>
                <w:webHidden/>
              </w:rPr>
              <w:tab/>
            </w:r>
            <w:r w:rsidR="006F4EC3">
              <w:rPr>
                <w:noProof/>
                <w:webHidden/>
              </w:rPr>
              <w:fldChar w:fldCharType="begin"/>
            </w:r>
            <w:r w:rsidR="006F4EC3">
              <w:rPr>
                <w:noProof/>
                <w:webHidden/>
              </w:rPr>
              <w:instrText xml:space="preserve"> PAGEREF _Toc150245681 \h </w:instrText>
            </w:r>
            <w:r w:rsidR="006F4EC3">
              <w:rPr>
                <w:noProof/>
                <w:webHidden/>
              </w:rPr>
            </w:r>
            <w:r w:rsidR="006F4EC3">
              <w:rPr>
                <w:noProof/>
                <w:webHidden/>
              </w:rPr>
              <w:fldChar w:fldCharType="separate"/>
            </w:r>
            <w:r w:rsidR="006F4EC3">
              <w:rPr>
                <w:noProof/>
                <w:webHidden/>
              </w:rPr>
              <w:t>17</w:t>
            </w:r>
            <w:r w:rsidR="006F4EC3">
              <w:rPr>
                <w:noProof/>
                <w:webHidden/>
              </w:rPr>
              <w:fldChar w:fldCharType="end"/>
            </w:r>
          </w:hyperlink>
        </w:p>
        <w:p w14:paraId="395F594B" w14:textId="2CEA4F57"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83" w:history="1">
            <w:r w:rsidR="006F4EC3" w:rsidRPr="00660EC2">
              <w:rPr>
                <w:rStyle w:val="Hyperlink"/>
                <w:noProof/>
              </w:rPr>
              <w:t>Proportion of serious claims involving Hitting objects with a part of the body</w:t>
            </w:r>
            <w:r w:rsidR="006F4EC3">
              <w:rPr>
                <w:rStyle w:val="Hyperlink"/>
                <w:noProof/>
              </w:rPr>
              <w:t xml:space="preserve">           </w:t>
            </w:r>
            <w:r w:rsidR="006F4EC3" w:rsidRPr="00660EC2">
              <w:rPr>
                <w:rStyle w:val="Hyperlink"/>
                <w:noProof/>
              </w:rPr>
              <w:t xml:space="preserve"> by jurisdiction</w:t>
            </w:r>
            <w:r w:rsidR="006F4EC3">
              <w:rPr>
                <w:noProof/>
                <w:webHidden/>
              </w:rPr>
              <w:tab/>
            </w:r>
            <w:r w:rsidR="006F4EC3">
              <w:rPr>
                <w:noProof/>
                <w:webHidden/>
              </w:rPr>
              <w:fldChar w:fldCharType="begin"/>
            </w:r>
            <w:r w:rsidR="006F4EC3">
              <w:rPr>
                <w:noProof/>
                <w:webHidden/>
              </w:rPr>
              <w:instrText xml:space="preserve"> PAGEREF _Toc150245683 \h </w:instrText>
            </w:r>
            <w:r w:rsidR="006F4EC3">
              <w:rPr>
                <w:noProof/>
                <w:webHidden/>
              </w:rPr>
            </w:r>
            <w:r w:rsidR="006F4EC3">
              <w:rPr>
                <w:noProof/>
                <w:webHidden/>
              </w:rPr>
              <w:fldChar w:fldCharType="separate"/>
            </w:r>
            <w:r w:rsidR="006F4EC3">
              <w:rPr>
                <w:noProof/>
                <w:webHidden/>
              </w:rPr>
              <w:t>17</w:t>
            </w:r>
            <w:r w:rsidR="006F4EC3">
              <w:rPr>
                <w:noProof/>
                <w:webHidden/>
              </w:rPr>
              <w:fldChar w:fldCharType="end"/>
            </w:r>
          </w:hyperlink>
        </w:p>
        <w:p w14:paraId="5BE68F85" w14:textId="69062678"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85" w:history="1">
            <w:r w:rsidR="006F4EC3" w:rsidRPr="00660EC2">
              <w:rPr>
                <w:rStyle w:val="Hyperlink"/>
                <w:noProof/>
              </w:rPr>
              <w:t>Proportion of serious claims involving Mental stress by jurisdiction</w:t>
            </w:r>
            <w:r w:rsidR="006F4EC3">
              <w:rPr>
                <w:noProof/>
                <w:webHidden/>
              </w:rPr>
              <w:tab/>
            </w:r>
            <w:r w:rsidR="006F4EC3">
              <w:rPr>
                <w:noProof/>
                <w:webHidden/>
              </w:rPr>
              <w:fldChar w:fldCharType="begin"/>
            </w:r>
            <w:r w:rsidR="006F4EC3">
              <w:rPr>
                <w:noProof/>
                <w:webHidden/>
              </w:rPr>
              <w:instrText xml:space="preserve"> PAGEREF _Toc150245685 \h </w:instrText>
            </w:r>
            <w:r w:rsidR="006F4EC3">
              <w:rPr>
                <w:noProof/>
                <w:webHidden/>
              </w:rPr>
            </w:r>
            <w:r w:rsidR="006F4EC3">
              <w:rPr>
                <w:noProof/>
                <w:webHidden/>
              </w:rPr>
              <w:fldChar w:fldCharType="separate"/>
            </w:r>
            <w:r w:rsidR="006F4EC3">
              <w:rPr>
                <w:noProof/>
                <w:webHidden/>
              </w:rPr>
              <w:t>18</w:t>
            </w:r>
            <w:r w:rsidR="006F4EC3">
              <w:rPr>
                <w:noProof/>
                <w:webHidden/>
              </w:rPr>
              <w:fldChar w:fldCharType="end"/>
            </w:r>
          </w:hyperlink>
        </w:p>
        <w:p w14:paraId="651695C3" w14:textId="33F2915A"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87" w:history="1">
            <w:r w:rsidR="006F4EC3" w:rsidRPr="00660EC2">
              <w:rPr>
                <w:rStyle w:val="Hyperlink"/>
                <w:noProof/>
              </w:rPr>
              <w:t>Proportion of serious claims involving Other mechanisms by jurisdiction</w:t>
            </w:r>
            <w:r w:rsidR="006F4EC3">
              <w:rPr>
                <w:noProof/>
                <w:webHidden/>
              </w:rPr>
              <w:tab/>
            </w:r>
            <w:r w:rsidR="006F4EC3">
              <w:rPr>
                <w:noProof/>
                <w:webHidden/>
              </w:rPr>
              <w:fldChar w:fldCharType="begin"/>
            </w:r>
            <w:r w:rsidR="006F4EC3">
              <w:rPr>
                <w:noProof/>
                <w:webHidden/>
              </w:rPr>
              <w:instrText xml:space="preserve"> PAGEREF _Toc150245687 \h </w:instrText>
            </w:r>
            <w:r w:rsidR="006F4EC3">
              <w:rPr>
                <w:noProof/>
                <w:webHidden/>
              </w:rPr>
            </w:r>
            <w:r w:rsidR="006F4EC3">
              <w:rPr>
                <w:noProof/>
                <w:webHidden/>
              </w:rPr>
              <w:fldChar w:fldCharType="separate"/>
            </w:r>
            <w:r w:rsidR="006F4EC3">
              <w:rPr>
                <w:noProof/>
                <w:webHidden/>
              </w:rPr>
              <w:t>18</w:t>
            </w:r>
            <w:r w:rsidR="006F4EC3">
              <w:rPr>
                <w:noProof/>
                <w:webHidden/>
              </w:rPr>
              <w:fldChar w:fldCharType="end"/>
            </w:r>
          </w:hyperlink>
        </w:p>
        <w:p w14:paraId="6EAF022E" w14:textId="3EB734B2"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89" w:history="1">
            <w:r w:rsidR="006F4EC3" w:rsidRPr="00660EC2">
              <w:rPr>
                <w:rStyle w:val="Hyperlink"/>
                <w:noProof/>
              </w:rPr>
              <w:t xml:space="preserve">Proportion of serious claims involving Vehicle incidents and other mechanisms </w:t>
            </w:r>
            <w:r w:rsidR="006F4EC3">
              <w:rPr>
                <w:rStyle w:val="Hyperlink"/>
                <w:noProof/>
              </w:rPr>
              <w:t xml:space="preserve">                           </w:t>
            </w:r>
            <w:r w:rsidR="006F4EC3" w:rsidRPr="00660EC2">
              <w:rPr>
                <w:rStyle w:val="Hyperlink"/>
                <w:noProof/>
              </w:rPr>
              <w:t>by jurisdiction</w:t>
            </w:r>
            <w:r w:rsidR="006F4EC3">
              <w:rPr>
                <w:noProof/>
                <w:webHidden/>
              </w:rPr>
              <w:tab/>
            </w:r>
            <w:r w:rsidR="006F4EC3">
              <w:rPr>
                <w:noProof/>
                <w:webHidden/>
              </w:rPr>
              <w:fldChar w:fldCharType="begin"/>
            </w:r>
            <w:r w:rsidR="006F4EC3">
              <w:rPr>
                <w:noProof/>
                <w:webHidden/>
              </w:rPr>
              <w:instrText xml:space="preserve"> PAGEREF _Toc150245689 \h </w:instrText>
            </w:r>
            <w:r w:rsidR="006F4EC3">
              <w:rPr>
                <w:noProof/>
                <w:webHidden/>
              </w:rPr>
            </w:r>
            <w:r w:rsidR="006F4EC3">
              <w:rPr>
                <w:noProof/>
                <w:webHidden/>
              </w:rPr>
              <w:fldChar w:fldCharType="separate"/>
            </w:r>
            <w:r w:rsidR="006F4EC3">
              <w:rPr>
                <w:noProof/>
                <w:webHidden/>
              </w:rPr>
              <w:t>19</w:t>
            </w:r>
            <w:r w:rsidR="006F4EC3">
              <w:rPr>
                <w:noProof/>
                <w:webHidden/>
              </w:rPr>
              <w:fldChar w:fldCharType="end"/>
            </w:r>
          </w:hyperlink>
        </w:p>
        <w:p w14:paraId="7EBFAD34" w14:textId="156D74EC"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91" w:history="1">
            <w:r w:rsidR="006F4EC3" w:rsidRPr="00660EC2">
              <w:rPr>
                <w:rStyle w:val="Hyperlink"/>
                <w:noProof/>
              </w:rPr>
              <w:t>Proportion of serious claims involving Heat, electricity and other environmental factors by jurisdiction</w:t>
            </w:r>
            <w:r w:rsidR="006F4EC3">
              <w:rPr>
                <w:noProof/>
                <w:webHidden/>
              </w:rPr>
              <w:tab/>
            </w:r>
            <w:r w:rsidR="006F4EC3">
              <w:rPr>
                <w:noProof/>
                <w:webHidden/>
              </w:rPr>
              <w:fldChar w:fldCharType="begin"/>
            </w:r>
            <w:r w:rsidR="006F4EC3">
              <w:rPr>
                <w:noProof/>
                <w:webHidden/>
              </w:rPr>
              <w:instrText xml:space="preserve"> PAGEREF _Toc150245691 \h </w:instrText>
            </w:r>
            <w:r w:rsidR="006F4EC3">
              <w:rPr>
                <w:noProof/>
                <w:webHidden/>
              </w:rPr>
            </w:r>
            <w:r w:rsidR="006F4EC3">
              <w:rPr>
                <w:noProof/>
                <w:webHidden/>
              </w:rPr>
              <w:fldChar w:fldCharType="separate"/>
            </w:r>
            <w:r w:rsidR="006F4EC3">
              <w:rPr>
                <w:noProof/>
                <w:webHidden/>
              </w:rPr>
              <w:t>19</w:t>
            </w:r>
            <w:r w:rsidR="006F4EC3">
              <w:rPr>
                <w:noProof/>
                <w:webHidden/>
              </w:rPr>
              <w:fldChar w:fldCharType="end"/>
            </w:r>
          </w:hyperlink>
        </w:p>
        <w:p w14:paraId="1A649A6E" w14:textId="28CAA592" w:rsidR="006F4EC3" w:rsidRDefault="00900B8E">
          <w:pPr>
            <w:pStyle w:val="TOC1"/>
            <w:rPr>
              <w:rFonts w:asciiTheme="minorHAnsi" w:eastAsiaTheme="minorEastAsia" w:hAnsiTheme="minorHAnsi" w:cstheme="minorBidi"/>
              <w:kern w:val="2"/>
              <w:sz w:val="22"/>
              <w:szCs w:val="22"/>
              <w14:ligatures w14:val="standardContextual"/>
            </w:rPr>
          </w:pPr>
          <w:hyperlink w:anchor="_Toc150245692" w:history="1">
            <w:r w:rsidR="006F4EC3" w:rsidRPr="00660EC2">
              <w:rPr>
                <w:rStyle w:val="Hyperlink"/>
              </w:rPr>
              <w:t>5.</w:t>
            </w:r>
            <w:r w:rsidR="006F4EC3">
              <w:rPr>
                <w:rFonts w:asciiTheme="minorHAnsi" w:eastAsiaTheme="minorEastAsia" w:hAnsiTheme="minorHAnsi" w:cstheme="minorBidi"/>
                <w:kern w:val="2"/>
                <w:sz w:val="22"/>
                <w:szCs w:val="22"/>
                <w14:ligatures w14:val="standardContextual"/>
              </w:rPr>
              <w:tab/>
            </w:r>
            <w:r w:rsidR="006F4EC3" w:rsidRPr="00660EC2">
              <w:rPr>
                <w:rStyle w:val="Hyperlink"/>
              </w:rPr>
              <w:t>Claims by industry</w:t>
            </w:r>
            <w:r w:rsidR="006F4EC3">
              <w:rPr>
                <w:webHidden/>
              </w:rPr>
              <w:tab/>
            </w:r>
            <w:r w:rsidR="006F4EC3">
              <w:rPr>
                <w:webHidden/>
              </w:rPr>
              <w:fldChar w:fldCharType="begin"/>
            </w:r>
            <w:r w:rsidR="006F4EC3">
              <w:rPr>
                <w:webHidden/>
              </w:rPr>
              <w:instrText xml:space="preserve"> PAGEREF _Toc150245692 \h </w:instrText>
            </w:r>
            <w:r w:rsidR="006F4EC3">
              <w:rPr>
                <w:webHidden/>
              </w:rPr>
            </w:r>
            <w:r w:rsidR="006F4EC3">
              <w:rPr>
                <w:webHidden/>
              </w:rPr>
              <w:fldChar w:fldCharType="separate"/>
            </w:r>
            <w:r w:rsidR="006F4EC3">
              <w:rPr>
                <w:webHidden/>
              </w:rPr>
              <w:t>20</w:t>
            </w:r>
            <w:r w:rsidR="006F4EC3">
              <w:rPr>
                <w:webHidden/>
              </w:rPr>
              <w:fldChar w:fldCharType="end"/>
            </w:r>
          </w:hyperlink>
        </w:p>
        <w:p w14:paraId="20852F3A" w14:textId="232B3690" w:rsidR="006F4EC3" w:rsidRDefault="00900B8E">
          <w:pPr>
            <w:pStyle w:val="TOC3"/>
            <w:rPr>
              <w:rStyle w:val="Hyperlink"/>
              <w:noProof/>
            </w:rPr>
          </w:pPr>
          <w:hyperlink w:anchor="_Toc150245693" w:history="1">
            <w:r w:rsidR="006F4EC3" w:rsidRPr="00660EC2">
              <w:rPr>
                <w:rStyle w:val="Hyperlink"/>
                <w:noProof/>
              </w:rPr>
              <w:t>Frequency rates of serious claims by industry</w:t>
            </w:r>
            <w:r w:rsidR="006F4EC3">
              <w:rPr>
                <w:noProof/>
                <w:webHidden/>
              </w:rPr>
              <w:tab/>
            </w:r>
            <w:r w:rsidR="006F4EC3">
              <w:rPr>
                <w:noProof/>
                <w:webHidden/>
              </w:rPr>
              <w:fldChar w:fldCharType="begin"/>
            </w:r>
            <w:r w:rsidR="006F4EC3">
              <w:rPr>
                <w:noProof/>
                <w:webHidden/>
              </w:rPr>
              <w:instrText xml:space="preserve"> PAGEREF _Toc150245693 \h </w:instrText>
            </w:r>
            <w:r w:rsidR="006F4EC3">
              <w:rPr>
                <w:noProof/>
                <w:webHidden/>
              </w:rPr>
            </w:r>
            <w:r w:rsidR="006F4EC3">
              <w:rPr>
                <w:noProof/>
                <w:webHidden/>
              </w:rPr>
              <w:fldChar w:fldCharType="separate"/>
            </w:r>
            <w:r w:rsidR="006F4EC3">
              <w:rPr>
                <w:noProof/>
                <w:webHidden/>
              </w:rPr>
              <w:t>20</w:t>
            </w:r>
            <w:r w:rsidR="006F4EC3">
              <w:rPr>
                <w:noProof/>
                <w:webHidden/>
              </w:rPr>
              <w:fldChar w:fldCharType="end"/>
            </w:r>
          </w:hyperlink>
        </w:p>
        <w:p w14:paraId="02AE640A" w14:textId="77777777" w:rsidR="00136CEF" w:rsidRPr="00136CEF" w:rsidRDefault="00136CEF" w:rsidP="00136CEF">
          <w:pPr>
            <w:rPr>
              <w:rFonts w:eastAsiaTheme="minorEastAsia"/>
            </w:rPr>
          </w:pPr>
        </w:p>
        <w:p w14:paraId="30717F91" w14:textId="397BBEE9" w:rsidR="006F4EC3" w:rsidRDefault="00900B8E">
          <w:pPr>
            <w:pStyle w:val="TOC1"/>
            <w:rPr>
              <w:rFonts w:asciiTheme="minorHAnsi" w:eastAsiaTheme="minorEastAsia" w:hAnsiTheme="minorHAnsi" w:cstheme="minorBidi"/>
              <w:kern w:val="2"/>
              <w:sz w:val="22"/>
              <w:szCs w:val="22"/>
              <w14:ligatures w14:val="standardContextual"/>
            </w:rPr>
          </w:pPr>
          <w:hyperlink w:anchor="_Toc150245694" w:history="1">
            <w:r w:rsidR="006F4EC3" w:rsidRPr="00660EC2">
              <w:rPr>
                <w:rStyle w:val="Hyperlink"/>
              </w:rPr>
              <w:t>5.1</w:t>
            </w:r>
            <w:r w:rsidR="006F4EC3">
              <w:rPr>
                <w:rFonts w:asciiTheme="minorHAnsi" w:eastAsiaTheme="minorEastAsia" w:hAnsiTheme="minorHAnsi" w:cstheme="minorBidi"/>
                <w:kern w:val="2"/>
                <w:sz w:val="22"/>
                <w:szCs w:val="22"/>
                <w14:ligatures w14:val="standardContextual"/>
              </w:rPr>
              <w:tab/>
            </w:r>
            <w:r w:rsidR="00B11D27">
              <w:rPr>
                <w:rFonts w:asciiTheme="minorHAnsi" w:eastAsiaTheme="minorEastAsia" w:hAnsiTheme="minorHAnsi" w:cstheme="minorBidi"/>
                <w:kern w:val="2"/>
                <w:sz w:val="22"/>
                <w:szCs w:val="22"/>
                <w14:ligatures w14:val="standardContextual"/>
              </w:rPr>
              <w:t xml:space="preserve"> </w:t>
            </w:r>
            <w:r w:rsidR="006F4EC3" w:rsidRPr="00660EC2">
              <w:rPr>
                <w:rStyle w:val="Hyperlink"/>
              </w:rPr>
              <w:t>Claims by industry and jurisdiction</w:t>
            </w:r>
            <w:r w:rsidR="006F4EC3">
              <w:rPr>
                <w:webHidden/>
              </w:rPr>
              <w:tab/>
            </w:r>
            <w:r w:rsidR="006F4EC3">
              <w:rPr>
                <w:webHidden/>
              </w:rPr>
              <w:fldChar w:fldCharType="begin"/>
            </w:r>
            <w:r w:rsidR="006F4EC3">
              <w:rPr>
                <w:webHidden/>
              </w:rPr>
              <w:instrText xml:space="preserve"> PAGEREF _Toc150245694 \h </w:instrText>
            </w:r>
            <w:r w:rsidR="006F4EC3">
              <w:rPr>
                <w:webHidden/>
              </w:rPr>
            </w:r>
            <w:r w:rsidR="006F4EC3">
              <w:rPr>
                <w:webHidden/>
              </w:rPr>
              <w:fldChar w:fldCharType="separate"/>
            </w:r>
            <w:r w:rsidR="006F4EC3">
              <w:rPr>
                <w:webHidden/>
              </w:rPr>
              <w:t>21</w:t>
            </w:r>
            <w:r w:rsidR="006F4EC3">
              <w:rPr>
                <w:webHidden/>
              </w:rPr>
              <w:fldChar w:fldCharType="end"/>
            </w:r>
          </w:hyperlink>
        </w:p>
        <w:p w14:paraId="29100819" w14:textId="4BD8E7F6"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96" w:history="1">
            <w:r w:rsidR="006F4EC3" w:rsidRPr="00660EC2">
              <w:rPr>
                <w:rStyle w:val="Hyperlink"/>
                <w:noProof/>
              </w:rPr>
              <w:t>Frequency rates of serious claims for Agriculture, forestry and fishing by jurisdiction</w:t>
            </w:r>
            <w:r w:rsidR="006F4EC3">
              <w:rPr>
                <w:noProof/>
                <w:webHidden/>
              </w:rPr>
              <w:tab/>
            </w:r>
            <w:r w:rsidR="006F4EC3">
              <w:rPr>
                <w:noProof/>
                <w:webHidden/>
              </w:rPr>
              <w:fldChar w:fldCharType="begin"/>
            </w:r>
            <w:r w:rsidR="006F4EC3">
              <w:rPr>
                <w:noProof/>
                <w:webHidden/>
              </w:rPr>
              <w:instrText xml:space="preserve"> PAGEREF _Toc150245696 \h </w:instrText>
            </w:r>
            <w:r w:rsidR="006F4EC3">
              <w:rPr>
                <w:noProof/>
                <w:webHidden/>
              </w:rPr>
            </w:r>
            <w:r w:rsidR="006F4EC3">
              <w:rPr>
                <w:noProof/>
                <w:webHidden/>
              </w:rPr>
              <w:fldChar w:fldCharType="separate"/>
            </w:r>
            <w:r w:rsidR="006F4EC3">
              <w:rPr>
                <w:noProof/>
                <w:webHidden/>
              </w:rPr>
              <w:t>21</w:t>
            </w:r>
            <w:r w:rsidR="006F4EC3">
              <w:rPr>
                <w:noProof/>
                <w:webHidden/>
              </w:rPr>
              <w:fldChar w:fldCharType="end"/>
            </w:r>
          </w:hyperlink>
        </w:p>
        <w:p w14:paraId="70CA4079" w14:textId="5B47A44E"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698" w:history="1">
            <w:r w:rsidR="006F4EC3" w:rsidRPr="00660EC2">
              <w:rPr>
                <w:rStyle w:val="Hyperlink"/>
                <w:noProof/>
              </w:rPr>
              <w:t>Frequency rates of serious claims for Mining by jurisdiction</w:t>
            </w:r>
            <w:r w:rsidR="006F4EC3">
              <w:rPr>
                <w:noProof/>
                <w:webHidden/>
              </w:rPr>
              <w:tab/>
            </w:r>
            <w:r w:rsidR="006F4EC3">
              <w:rPr>
                <w:noProof/>
                <w:webHidden/>
              </w:rPr>
              <w:fldChar w:fldCharType="begin"/>
            </w:r>
            <w:r w:rsidR="006F4EC3">
              <w:rPr>
                <w:noProof/>
                <w:webHidden/>
              </w:rPr>
              <w:instrText xml:space="preserve"> PAGEREF _Toc150245698 \h </w:instrText>
            </w:r>
            <w:r w:rsidR="006F4EC3">
              <w:rPr>
                <w:noProof/>
                <w:webHidden/>
              </w:rPr>
            </w:r>
            <w:r w:rsidR="006F4EC3">
              <w:rPr>
                <w:noProof/>
                <w:webHidden/>
              </w:rPr>
              <w:fldChar w:fldCharType="separate"/>
            </w:r>
            <w:r w:rsidR="006F4EC3">
              <w:rPr>
                <w:noProof/>
                <w:webHidden/>
              </w:rPr>
              <w:t>22</w:t>
            </w:r>
            <w:r w:rsidR="006F4EC3">
              <w:rPr>
                <w:noProof/>
                <w:webHidden/>
              </w:rPr>
              <w:fldChar w:fldCharType="end"/>
            </w:r>
          </w:hyperlink>
        </w:p>
        <w:p w14:paraId="3571C585" w14:textId="6677194D"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00" w:history="1">
            <w:r w:rsidR="006F4EC3" w:rsidRPr="00660EC2">
              <w:rPr>
                <w:rStyle w:val="Hyperlink"/>
                <w:noProof/>
              </w:rPr>
              <w:t>Frequency rates of serious claims for Manufacturing by jurisdiction</w:t>
            </w:r>
            <w:r w:rsidR="006F4EC3">
              <w:rPr>
                <w:noProof/>
                <w:webHidden/>
              </w:rPr>
              <w:tab/>
            </w:r>
            <w:r w:rsidR="006F4EC3">
              <w:rPr>
                <w:noProof/>
                <w:webHidden/>
              </w:rPr>
              <w:fldChar w:fldCharType="begin"/>
            </w:r>
            <w:r w:rsidR="006F4EC3">
              <w:rPr>
                <w:noProof/>
                <w:webHidden/>
              </w:rPr>
              <w:instrText xml:space="preserve"> PAGEREF _Toc150245700 \h </w:instrText>
            </w:r>
            <w:r w:rsidR="006F4EC3">
              <w:rPr>
                <w:noProof/>
                <w:webHidden/>
              </w:rPr>
            </w:r>
            <w:r w:rsidR="006F4EC3">
              <w:rPr>
                <w:noProof/>
                <w:webHidden/>
              </w:rPr>
              <w:fldChar w:fldCharType="separate"/>
            </w:r>
            <w:r w:rsidR="006F4EC3">
              <w:rPr>
                <w:noProof/>
                <w:webHidden/>
              </w:rPr>
              <w:t>22</w:t>
            </w:r>
            <w:r w:rsidR="006F4EC3">
              <w:rPr>
                <w:noProof/>
                <w:webHidden/>
              </w:rPr>
              <w:fldChar w:fldCharType="end"/>
            </w:r>
          </w:hyperlink>
        </w:p>
        <w:p w14:paraId="430B89BB" w14:textId="6331ABA6"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02" w:history="1">
            <w:r w:rsidR="006F4EC3" w:rsidRPr="00660EC2">
              <w:rPr>
                <w:rStyle w:val="Hyperlink"/>
                <w:noProof/>
              </w:rPr>
              <w:t xml:space="preserve">Frequency rates of serious claims for Electricity, gas, water and waste services </w:t>
            </w:r>
            <w:r w:rsidR="006F4EC3">
              <w:rPr>
                <w:rStyle w:val="Hyperlink"/>
                <w:noProof/>
              </w:rPr>
              <w:t xml:space="preserve">                          </w:t>
            </w:r>
            <w:r w:rsidR="006F4EC3" w:rsidRPr="00660EC2">
              <w:rPr>
                <w:rStyle w:val="Hyperlink"/>
                <w:noProof/>
              </w:rPr>
              <w:t>by jurisdiction</w:t>
            </w:r>
            <w:r w:rsidR="006F4EC3">
              <w:rPr>
                <w:noProof/>
                <w:webHidden/>
              </w:rPr>
              <w:tab/>
            </w:r>
            <w:r w:rsidR="006F4EC3">
              <w:rPr>
                <w:noProof/>
                <w:webHidden/>
              </w:rPr>
              <w:fldChar w:fldCharType="begin"/>
            </w:r>
            <w:r w:rsidR="006F4EC3">
              <w:rPr>
                <w:noProof/>
                <w:webHidden/>
              </w:rPr>
              <w:instrText xml:space="preserve"> PAGEREF _Toc150245702 \h </w:instrText>
            </w:r>
            <w:r w:rsidR="006F4EC3">
              <w:rPr>
                <w:noProof/>
                <w:webHidden/>
              </w:rPr>
            </w:r>
            <w:r w:rsidR="006F4EC3">
              <w:rPr>
                <w:noProof/>
                <w:webHidden/>
              </w:rPr>
              <w:fldChar w:fldCharType="separate"/>
            </w:r>
            <w:r w:rsidR="006F4EC3">
              <w:rPr>
                <w:noProof/>
                <w:webHidden/>
              </w:rPr>
              <w:t>23</w:t>
            </w:r>
            <w:r w:rsidR="006F4EC3">
              <w:rPr>
                <w:noProof/>
                <w:webHidden/>
              </w:rPr>
              <w:fldChar w:fldCharType="end"/>
            </w:r>
          </w:hyperlink>
        </w:p>
        <w:p w14:paraId="67DE4248" w14:textId="0392DB8C"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04" w:history="1">
            <w:r w:rsidR="006F4EC3" w:rsidRPr="00660EC2">
              <w:rPr>
                <w:rStyle w:val="Hyperlink"/>
                <w:noProof/>
              </w:rPr>
              <w:t>Frequency rates of serious claims for Construction by jurisdiction</w:t>
            </w:r>
            <w:r w:rsidR="006F4EC3">
              <w:rPr>
                <w:noProof/>
                <w:webHidden/>
              </w:rPr>
              <w:tab/>
            </w:r>
            <w:r w:rsidR="006F4EC3">
              <w:rPr>
                <w:noProof/>
                <w:webHidden/>
              </w:rPr>
              <w:fldChar w:fldCharType="begin"/>
            </w:r>
            <w:r w:rsidR="006F4EC3">
              <w:rPr>
                <w:noProof/>
                <w:webHidden/>
              </w:rPr>
              <w:instrText xml:space="preserve"> PAGEREF _Toc150245704 \h </w:instrText>
            </w:r>
            <w:r w:rsidR="006F4EC3">
              <w:rPr>
                <w:noProof/>
                <w:webHidden/>
              </w:rPr>
            </w:r>
            <w:r w:rsidR="006F4EC3">
              <w:rPr>
                <w:noProof/>
                <w:webHidden/>
              </w:rPr>
              <w:fldChar w:fldCharType="separate"/>
            </w:r>
            <w:r w:rsidR="006F4EC3">
              <w:rPr>
                <w:noProof/>
                <w:webHidden/>
              </w:rPr>
              <w:t>23</w:t>
            </w:r>
            <w:r w:rsidR="006F4EC3">
              <w:rPr>
                <w:noProof/>
                <w:webHidden/>
              </w:rPr>
              <w:fldChar w:fldCharType="end"/>
            </w:r>
          </w:hyperlink>
        </w:p>
        <w:p w14:paraId="5C13B94F" w14:textId="33FD2DFA"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06" w:history="1">
            <w:r w:rsidR="006F4EC3" w:rsidRPr="00660EC2">
              <w:rPr>
                <w:rStyle w:val="Hyperlink"/>
                <w:noProof/>
              </w:rPr>
              <w:t>Frequency rates of serious claims for Wholesale trade by jurisdiction</w:t>
            </w:r>
            <w:r w:rsidR="006F4EC3">
              <w:rPr>
                <w:noProof/>
                <w:webHidden/>
              </w:rPr>
              <w:tab/>
            </w:r>
            <w:r w:rsidR="006F4EC3">
              <w:rPr>
                <w:noProof/>
                <w:webHidden/>
              </w:rPr>
              <w:fldChar w:fldCharType="begin"/>
            </w:r>
            <w:r w:rsidR="006F4EC3">
              <w:rPr>
                <w:noProof/>
                <w:webHidden/>
              </w:rPr>
              <w:instrText xml:space="preserve"> PAGEREF _Toc150245706 \h </w:instrText>
            </w:r>
            <w:r w:rsidR="006F4EC3">
              <w:rPr>
                <w:noProof/>
                <w:webHidden/>
              </w:rPr>
            </w:r>
            <w:r w:rsidR="006F4EC3">
              <w:rPr>
                <w:noProof/>
                <w:webHidden/>
              </w:rPr>
              <w:fldChar w:fldCharType="separate"/>
            </w:r>
            <w:r w:rsidR="006F4EC3">
              <w:rPr>
                <w:noProof/>
                <w:webHidden/>
              </w:rPr>
              <w:t>24</w:t>
            </w:r>
            <w:r w:rsidR="006F4EC3">
              <w:rPr>
                <w:noProof/>
                <w:webHidden/>
              </w:rPr>
              <w:fldChar w:fldCharType="end"/>
            </w:r>
          </w:hyperlink>
        </w:p>
        <w:p w14:paraId="02053162" w14:textId="12D9986E"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08" w:history="1">
            <w:r w:rsidR="006F4EC3" w:rsidRPr="00660EC2">
              <w:rPr>
                <w:rStyle w:val="Hyperlink"/>
                <w:noProof/>
              </w:rPr>
              <w:t>Frequency rates of serious claims for Retail trade by jurisdiction</w:t>
            </w:r>
            <w:r w:rsidR="006F4EC3">
              <w:rPr>
                <w:noProof/>
                <w:webHidden/>
              </w:rPr>
              <w:tab/>
            </w:r>
            <w:r w:rsidR="006F4EC3">
              <w:rPr>
                <w:noProof/>
                <w:webHidden/>
              </w:rPr>
              <w:fldChar w:fldCharType="begin"/>
            </w:r>
            <w:r w:rsidR="006F4EC3">
              <w:rPr>
                <w:noProof/>
                <w:webHidden/>
              </w:rPr>
              <w:instrText xml:space="preserve"> PAGEREF _Toc150245708 \h </w:instrText>
            </w:r>
            <w:r w:rsidR="006F4EC3">
              <w:rPr>
                <w:noProof/>
                <w:webHidden/>
              </w:rPr>
            </w:r>
            <w:r w:rsidR="006F4EC3">
              <w:rPr>
                <w:noProof/>
                <w:webHidden/>
              </w:rPr>
              <w:fldChar w:fldCharType="separate"/>
            </w:r>
            <w:r w:rsidR="006F4EC3">
              <w:rPr>
                <w:noProof/>
                <w:webHidden/>
              </w:rPr>
              <w:t>24</w:t>
            </w:r>
            <w:r w:rsidR="006F4EC3">
              <w:rPr>
                <w:noProof/>
                <w:webHidden/>
              </w:rPr>
              <w:fldChar w:fldCharType="end"/>
            </w:r>
          </w:hyperlink>
        </w:p>
        <w:p w14:paraId="7E4E8870" w14:textId="40B967D0"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10" w:history="1">
            <w:r w:rsidR="006F4EC3" w:rsidRPr="00660EC2">
              <w:rPr>
                <w:rStyle w:val="Hyperlink"/>
                <w:noProof/>
              </w:rPr>
              <w:t>Frequency rates of serious claims for Accommodation and food services by jurisdiction</w:t>
            </w:r>
            <w:r w:rsidR="006F4EC3">
              <w:rPr>
                <w:noProof/>
                <w:webHidden/>
              </w:rPr>
              <w:tab/>
            </w:r>
            <w:r w:rsidR="006F4EC3">
              <w:rPr>
                <w:noProof/>
                <w:webHidden/>
              </w:rPr>
              <w:fldChar w:fldCharType="begin"/>
            </w:r>
            <w:r w:rsidR="006F4EC3">
              <w:rPr>
                <w:noProof/>
                <w:webHidden/>
              </w:rPr>
              <w:instrText xml:space="preserve"> PAGEREF _Toc150245710 \h </w:instrText>
            </w:r>
            <w:r w:rsidR="006F4EC3">
              <w:rPr>
                <w:noProof/>
                <w:webHidden/>
              </w:rPr>
            </w:r>
            <w:r w:rsidR="006F4EC3">
              <w:rPr>
                <w:noProof/>
                <w:webHidden/>
              </w:rPr>
              <w:fldChar w:fldCharType="separate"/>
            </w:r>
            <w:r w:rsidR="006F4EC3">
              <w:rPr>
                <w:noProof/>
                <w:webHidden/>
              </w:rPr>
              <w:t>25</w:t>
            </w:r>
            <w:r w:rsidR="006F4EC3">
              <w:rPr>
                <w:noProof/>
                <w:webHidden/>
              </w:rPr>
              <w:fldChar w:fldCharType="end"/>
            </w:r>
          </w:hyperlink>
        </w:p>
        <w:p w14:paraId="7DB618AC" w14:textId="23D064B7"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12" w:history="1">
            <w:r w:rsidR="006F4EC3" w:rsidRPr="00660EC2">
              <w:rPr>
                <w:rStyle w:val="Hyperlink"/>
                <w:noProof/>
              </w:rPr>
              <w:t>Frequency rates of serious claims for Transport, postal and warehousing by jurisdiction</w:t>
            </w:r>
            <w:r w:rsidR="006F4EC3">
              <w:rPr>
                <w:noProof/>
                <w:webHidden/>
              </w:rPr>
              <w:tab/>
            </w:r>
            <w:r w:rsidR="006F4EC3">
              <w:rPr>
                <w:noProof/>
                <w:webHidden/>
              </w:rPr>
              <w:fldChar w:fldCharType="begin"/>
            </w:r>
            <w:r w:rsidR="006F4EC3">
              <w:rPr>
                <w:noProof/>
                <w:webHidden/>
              </w:rPr>
              <w:instrText xml:space="preserve"> PAGEREF _Toc150245712 \h </w:instrText>
            </w:r>
            <w:r w:rsidR="006F4EC3">
              <w:rPr>
                <w:noProof/>
                <w:webHidden/>
              </w:rPr>
            </w:r>
            <w:r w:rsidR="006F4EC3">
              <w:rPr>
                <w:noProof/>
                <w:webHidden/>
              </w:rPr>
              <w:fldChar w:fldCharType="separate"/>
            </w:r>
            <w:r w:rsidR="006F4EC3">
              <w:rPr>
                <w:noProof/>
                <w:webHidden/>
              </w:rPr>
              <w:t>25</w:t>
            </w:r>
            <w:r w:rsidR="006F4EC3">
              <w:rPr>
                <w:noProof/>
                <w:webHidden/>
              </w:rPr>
              <w:fldChar w:fldCharType="end"/>
            </w:r>
          </w:hyperlink>
        </w:p>
        <w:p w14:paraId="47490121" w14:textId="0CB48545"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14" w:history="1">
            <w:r w:rsidR="006F4EC3" w:rsidRPr="00660EC2">
              <w:rPr>
                <w:rStyle w:val="Hyperlink"/>
                <w:noProof/>
              </w:rPr>
              <w:t>Frequency rates of serious claims for Information media and telecommunications by jurisdiction</w:t>
            </w:r>
            <w:r w:rsidR="006F4EC3">
              <w:rPr>
                <w:noProof/>
                <w:webHidden/>
              </w:rPr>
              <w:tab/>
            </w:r>
            <w:r w:rsidR="006F4EC3">
              <w:rPr>
                <w:noProof/>
                <w:webHidden/>
              </w:rPr>
              <w:fldChar w:fldCharType="begin"/>
            </w:r>
            <w:r w:rsidR="006F4EC3">
              <w:rPr>
                <w:noProof/>
                <w:webHidden/>
              </w:rPr>
              <w:instrText xml:space="preserve"> PAGEREF _Toc150245714 \h </w:instrText>
            </w:r>
            <w:r w:rsidR="006F4EC3">
              <w:rPr>
                <w:noProof/>
                <w:webHidden/>
              </w:rPr>
            </w:r>
            <w:r w:rsidR="006F4EC3">
              <w:rPr>
                <w:noProof/>
                <w:webHidden/>
              </w:rPr>
              <w:fldChar w:fldCharType="separate"/>
            </w:r>
            <w:r w:rsidR="006F4EC3">
              <w:rPr>
                <w:noProof/>
                <w:webHidden/>
              </w:rPr>
              <w:t>26</w:t>
            </w:r>
            <w:r w:rsidR="006F4EC3">
              <w:rPr>
                <w:noProof/>
                <w:webHidden/>
              </w:rPr>
              <w:fldChar w:fldCharType="end"/>
            </w:r>
          </w:hyperlink>
        </w:p>
        <w:p w14:paraId="2F41DC4E" w14:textId="046951CE"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16" w:history="1">
            <w:r w:rsidR="006F4EC3" w:rsidRPr="00660EC2">
              <w:rPr>
                <w:rStyle w:val="Hyperlink"/>
                <w:noProof/>
              </w:rPr>
              <w:t>Frequency rates of serious claims for Financial and insurance services by jurisdiction</w:t>
            </w:r>
            <w:r w:rsidR="006F4EC3">
              <w:rPr>
                <w:noProof/>
                <w:webHidden/>
              </w:rPr>
              <w:tab/>
            </w:r>
            <w:r w:rsidR="006F4EC3">
              <w:rPr>
                <w:noProof/>
                <w:webHidden/>
              </w:rPr>
              <w:fldChar w:fldCharType="begin"/>
            </w:r>
            <w:r w:rsidR="006F4EC3">
              <w:rPr>
                <w:noProof/>
                <w:webHidden/>
              </w:rPr>
              <w:instrText xml:space="preserve"> PAGEREF _Toc150245716 \h </w:instrText>
            </w:r>
            <w:r w:rsidR="006F4EC3">
              <w:rPr>
                <w:noProof/>
                <w:webHidden/>
              </w:rPr>
            </w:r>
            <w:r w:rsidR="006F4EC3">
              <w:rPr>
                <w:noProof/>
                <w:webHidden/>
              </w:rPr>
              <w:fldChar w:fldCharType="separate"/>
            </w:r>
            <w:r w:rsidR="006F4EC3">
              <w:rPr>
                <w:noProof/>
                <w:webHidden/>
              </w:rPr>
              <w:t>26</w:t>
            </w:r>
            <w:r w:rsidR="006F4EC3">
              <w:rPr>
                <w:noProof/>
                <w:webHidden/>
              </w:rPr>
              <w:fldChar w:fldCharType="end"/>
            </w:r>
          </w:hyperlink>
        </w:p>
        <w:p w14:paraId="733CE94E" w14:textId="25F76E59"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18" w:history="1">
            <w:r w:rsidR="006F4EC3" w:rsidRPr="00660EC2">
              <w:rPr>
                <w:rStyle w:val="Hyperlink"/>
                <w:noProof/>
              </w:rPr>
              <w:t xml:space="preserve">Frequency rates of serious claims for Rental, hiring and real estate services </w:t>
            </w:r>
            <w:r w:rsidR="006F4EC3">
              <w:rPr>
                <w:rStyle w:val="Hyperlink"/>
                <w:noProof/>
              </w:rPr>
              <w:t xml:space="preserve">            </w:t>
            </w:r>
            <w:r w:rsidR="006F4EC3" w:rsidRPr="00660EC2">
              <w:rPr>
                <w:rStyle w:val="Hyperlink"/>
                <w:noProof/>
              </w:rPr>
              <w:t>by jurisdiction</w:t>
            </w:r>
            <w:r w:rsidR="006F4EC3">
              <w:rPr>
                <w:noProof/>
                <w:webHidden/>
              </w:rPr>
              <w:tab/>
            </w:r>
            <w:r w:rsidR="006F4EC3">
              <w:rPr>
                <w:noProof/>
                <w:webHidden/>
              </w:rPr>
              <w:fldChar w:fldCharType="begin"/>
            </w:r>
            <w:r w:rsidR="006F4EC3">
              <w:rPr>
                <w:noProof/>
                <w:webHidden/>
              </w:rPr>
              <w:instrText xml:space="preserve"> PAGEREF _Toc150245718 \h </w:instrText>
            </w:r>
            <w:r w:rsidR="006F4EC3">
              <w:rPr>
                <w:noProof/>
                <w:webHidden/>
              </w:rPr>
            </w:r>
            <w:r w:rsidR="006F4EC3">
              <w:rPr>
                <w:noProof/>
                <w:webHidden/>
              </w:rPr>
              <w:fldChar w:fldCharType="separate"/>
            </w:r>
            <w:r w:rsidR="006F4EC3">
              <w:rPr>
                <w:noProof/>
                <w:webHidden/>
              </w:rPr>
              <w:t>27</w:t>
            </w:r>
            <w:r w:rsidR="006F4EC3">
              <w:rPr>
                <w:noProof/>
                <w:webHidden/>
              </w:rPr>
              <w:fldChar w:fldCharType="end"/>
            </w:r>
          </w:hyperlink>
        </w:p>
        <w:p w14:paraId="651497D8" w14:textId="205109DA"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20" w:history="1">
            <w:r w:rsidR="006F4EC3" w:rsidRPr="00660EC2">
              <w:rPr>
                <w:rStyle w:val="Hyperlink"/>
                <w:noProof/>
              </w:rPr>
              <w:t>Frequency rates of serious claims for Professional, scientific and technical services by jurisdiction</w:t>
            </w:r>
            <w:r w:rsidR="006F4EC3">
              <w:rPr>
                <w:noProof/>
                <w:webHidden/>
              </w:rPr>
              <w:tab/>
            </w:r>
            <w:r w:rsidR="006F4EC3">
              <w:rPr>
                <w:noProof/>
                <w:webHidden/>
              </w:rPr>
              <w:fldChar w:fldCharType="begin"/>
            </w:r>
            <w:r w:rsidR="006F4EC3">
              <w:rPr>
                <w:noProof/>
                <w:webHidden/>
              </w:rPr>
              <w:instrText xml:space="preserve"> PAGEREF _Toc150245720 \h </w:instrText>
            </w:r>
            <w:r w:rsidR="006F4EC3">
              <w:rPr>
                <w:noProof/>
                <w:webHidden/>
              </w:rPr>
            </w:r>
            <w:r w:rsidR="006F4EC3">
              <w:rPr>
                <w:noProof/>
                <w:webHidden/>
              </w:rPr>
              <w:fldChar w:fldCharType="separate"/>
            </w:r>
            <w:r w:rsidR="006F4EC3">
              <w:rPr>
                <w:noProof/>
                <w:webHidden/>
              </w:rPr>
              <w:t>27</w:t>
            </w:r>
            <w:r w:rsidR="006F4EC3">
              <w:rPr>
                <w:noProof/>
                <w:webHidden/>
              </w:rPr>
              <w:fldChar w:fldCharType="end"/>
            </w:r>
          </w:hyperlink>
        </w:p>
        <w:p w14:paraId="6C952E30" w14:textId="2195A6C1"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22" w:history="1">
            <w:r w:rsidR="006F4EC3" w:rsidRPr="00660EC2">
              <w:rPr>
                <w:rStyle w:val="Hyperlink"/>
                <w:noProof/>
              </w:rPr>
              <w:t>Frequency rates of serious claims for Administrative and support services by jurisdiction</w:t>
            </w:r>
            <w:r w:rsidR="006F4EC3">
              <w:rPr>
                <w:noProof/>
                <w:webHidden/>
              </w:rPr>
              <w:tab/>
            </w:r>
            <w:r w:rsidR="006F4EC3">
              <w:rPr>
                <w:noProof/>
                <w:webHidden/>
              </w:rPr>
              <w:fldChar w:fldCharType="begin"/>
            </w:r>
            <w:r w:rsidR="006F4EC3">
              <w:rPr>
                <w:noProof/>
                <w:webHidden/>
              </w:rPr>
              <w:instrText xml:space="preserve"> PAGEREF _Toc150245722 \h </w:instrText>
            </w:r>
            <w:r w:rsidR="006F4EC3">
              <w:rPr>
                <w:noProof/>
                <w:webHidden/>
              </w:rPr>
            </w:r>
            <w:r w:rsidR="006F4EC3">
              <w:rPr>
                <w:noProof/>
                <w:webHidden/>
              </w:rPr>
              <w:fldChar w:fldCharType="separate"/>
            </w:r>
            <w:r w:rsidR="006F4EC3">
              <w:rPr>
                <w:noProof/>
                <w:webHidden/>
              </w:rPr>
              <w:t>28</w:t>
            </w:r>
            <w:r w:rsidR="006F4EC3">
              <w:rPr>
                <w:noProof/>
                <w:webHidden/>
              </w:rPr>
              <w:fldChar w:fldCharType="end"/>
            </w:r>
          </w:hyperlink>
        </w:p>
        <w:p w14:paraId="24E9E692" w14:textId="5FF3A88A"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24" w:history="1">
            <w:r w:rsidR="006F4EC3" w:rsidRPr="00660EC2">
              <w:rPr>
                <w:rStyle w:val="Hyperlink"/>
                <w:noProof/>
              </w:rPr>
              <w:t>Frequency rates of serious claims for Public administration and safety by jurisdiction</w:t>
            </w:r>
            <w:r w:rsidR="006F4EC3">
              <w:rPr>
                <w:noProof/>
                <w:webHidden/>
              </w:rPr>
              <w:tab/>
            </w:r>
            <w:r w:rsidR="006F4EC3">
              <w:rPr>
                <w:noProof/>
                <w:webHidden/>
              </w:rPr>
              <w:fldChar w:fldCharType="begin"/>
            </w:r>
            <w:r w:rsidR="006F4EC3">
              <w:rPr>
                <w:noProof/>
                <w:webHidden/>
              </w:rPr>
              <w:instrText xml:space="preserve"> PAGEREF _Toc150245724 \h </w:instrText>
            </w:r>
            <w:r w:rsidR="006F4EC3">
              <w:rPr>
                <w:noProof/>
                <w:webHidden/>
              </w:rPr>
            </w:r>
            <w:r w:rsidR="006F4EC3">
              <w:rPr>
                <w:noProof/>
                <w:webHidden/>
              </w:rPr>
              <w:fldChar w:fldCharType="separate"/>
            </w:r>
            <w:r w:rsidR="006F4EC3">
              <w:rPr>
                <w:noProof/>
                <w:webHidden/>
              </w:rPr>
              <w:t>28</w:t>
            </w:r>
            <w:r w:rsidR="006F4EC3">
              <w:rPr>
                <w:noProof/>
                <w:webHidden/>
              </w:rPr>
              <w:fldChar w:fldCharType="end"/>
            </w:r>
          </w:hyperlink>
        </w:p>
        <w:p w14:paraId="60D368D1" w14:textId="052AEDD1"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26" w:history="1">
            <w:r w:rsidR="006F4EC3" w:rsidRPr="00660EC2">
              <w:rPr>
                <w:rStyle w:val="Hyperlink"/>
                <w:noProof/>
              </w:rPr>
              <w:t>Frequency rates of serious claims for Education and training by jurisdiction</w:t>
            </w:r>
            <w:r w:rsidR="006F4EC3">
              <w:rPr>
                <w:noProof/>
                <w:webHidden/>
              </w:rPr>
              <w:tab/>
            </w:r>
            <w:r w:rsidR="006F4EC3">
              <w:rPr>
                <w:noProof/>
                <w:webHidden/>
              </w:rPr>
              <w:fldChar w:fldCharType="begin"/>
            </w:r>
            <w:r w:rsidR="006F4EC3">
              <w:rPr>
                <w:noProof/>
                <w:webHidden/>
              </w:rPr>
              <w:instrText xml:space="preserve"> PAGEREF _Toc150245726 \h </w:instrText>
            </w:r>
            <w:r w:rsidR="006F4EC3">
              <w:rPr>
                <w:noProof/>
                <w:webHidden/>
              </w:rPr>
            </w:r>
            <w:r w:rsidR="006F4EC3">
              <w:rPr>
                <w:noProof/>
                <w:webHidden/>
              </w:rPr>
              <w:fldChar w:fldCharType="separate"/>
            </w:r>
            <w:r w:rsidR="006F4EC3">
              <w:rPr>
                <w:noProof/>
                <w:webHidden/>
              </w:rPr>
              <w:t>29</w:t>
            </w:r>
            <w:r w:rsidR="006F4EC3">
              <w:rPr>
                <w:noProof/>
                <w:webHidden/>
              </w:rPr>
              <w:fldChar w:fldCharType="end"/>
            </w:r>
          </w:hyperlink>
        </w:p>
        <w:p w14:paraId="3CD7BB4B" w14:textId="5AF22B23"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28" w:history="1">
            <w:r w:rsidR="006F4EC3" w:rsidRPr="00660EC2">
              <w:rPr>
                <w:rStyle w:val="Hyperlink"/>
                <w:noProof/>
              </w:rPr>
              <w:t>Frequency rates of serious claims for Health care and social assistance by jurisdiction</w:t>
            </w:r>
            <w:r w:rsidR="006F4EC3">
              <w:rPr>
                <w:noProof/>
                <w:webHidden/>
              </w:rPr>
              <w:tab/>
            </w:r>
            <w:r w:rsidR="006F4EC3">
              <w:rPr>
                <w:noProof/>
                <w:webHidden/>
              </w:rPr>
              <w:fldChar w:fldCharType="begin"/>
            </w:r>
            <w:r w:rsidR="006F4EC3">
              <w:rPr>
                <w:noProof/>
                <w:webHidden/>
              </w:rPr>
              <w:instrText xml:space="preserve"> PAGEREF _Toc150245728 \h </w:instrText>
            </w:r>
            <w:r w:rsidR="006F4EC3">
              <w:rPr>
                <w:noProof/>
                <w:webHidden/>
              </w:rPr>
            </w:r>
            <w:r w:rsidR="006F4EC3">
              <w:rPr>
                <w:noProof/>
                <w:webHidden/>
              </w:rPr>
              <w:fldChar w:fldCharType="separate"/>
            </w:r>
            <w:r w:rsidR="006F4EC3">
              <w:rPr>
                <w:noProof/>
                <w:webHidden/>
              </w:rPr>
              <w:t>29</w:t>
            </w:r>
            <w:r w:rsidR="006F4EC3">
              <w:rPr>
                <w:noProof/>
                <w:webHidden/>
              </w:rPr>
              <w:fldChar w:fldCharType="end"/>
            </w:r>
          </w:hyperlink>
        </w:p>
        <w:p w14:paraId="17185B3E" w14:textId="176DD11B"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30" w:history="1">
            <w:r w:rsidR="006F4EC3" w:rsidRPr="00660EC2">
              <w:rPr>
                <w:rStyle w:val="Hyperlink"/>
                <w:noProof/>
              </w:rPr>
              <w:t>Frequency rates of serious claims for Arts and recreation services by jurisdiction</w:t>
            </w:r>
            <w:r w:rsidR="006F4EC3">
              <w:rPr>
                <w:noProof/>
                <w:webHidden/>
              </w:rPr>
              <w:tab/>
            </w:r>
            <w:r w:rsidR="006F4EC3">
              <w:rPr>
                <w:noProof/>
                <w:webHidden/>
              </w:rPr>
              <w:fldChar w:fldCharType="begin"/>
            </w:r>
            <w:r w:rsidR="006F4EC3">
              <w:rPr>
                <w:noProof/>
                <w:webHidden/>
              </w:rPr>
              <w:instrText xml:space="preserve"> PAGEREF _Toc150245730 \h </w:instrText>
            </w:r>
            <w:r w:rsidR="006F4EC3">
              <w:rPr>
                <w:noProof/>
                <w:webHidden/>
              </w:rPr>
            </w:r>
            <w:r w:rsidR="006F4EC3">
              <w:rPr>
                <w:noProof/>
                <w:webHidden/>
              </w:rPr>
              <w:fldChar w:fldCharType="separate"/>
            </w:r>
            <w:r w:rsidR="006F4EC3">
              <w:rPr>
                <w:noProof/>
                <w:webHidden/>
              </w:rPr>
              <w:t>30</w:t>
            </w:r>
            <w:r w:rsidR="006F4EC3">
              <w:rPr>
                <w:noProof/>
                <w:webHidden/>
              </w:rPr>
              <w:fldChar w:fldCharType="end"/>
            </w:r>
          </w:hyperlink>
        </w:p>
        <w:p w14:paraId="3A0953C8" w14:textId="6AFBC828" w:rsidR="006F4EC3" w:rsidRDefault="00900B8E">
          <w:pPr>
            <w:pStyle w:val="TOC3"/>
            <w:rPr>
              <w:rFonts w:asciiTheme="minorHAnsi" w:eastAsiaTheme="minorEastAsia" w:hAnsiTheme="minorHAnsi" w:cstheme="minorBidi"/>
              <w:noProof/>
              <w:kern w:val="2"/>
              <w:sz w:val="22"/>
              <w:szCs w:val="22"/>
              <w14:ligatures w14:val="standardContextual"/>
            </w:rPr>
          </w:pPr>
          <w:hyperlink w:anchor="_Toc150245732" w:history="1">
            <w:r w:rsidR="006F4EC3" w:rsidRPr="00660EC2">
              <w:rPr>
                <w:rStyle w:val="Hyperlink"/>
                <w:noProof/>
              </w:rPr>
              <w:t xml:space="preserve">Frequency rates of serious claims for Other services by jurisdiction </w:t>
            </w:r>
          </w:hyperlink>
        </w:p>
        <w:p w14:paraId="12DFF886" w14:textId="1C12E722" w:rsidR="006F4EC3" w:rsidRDefault="00900B8E">
          <w:pPr>
            <w:pStyle w:val="TOC1"/>
            <w:rPr>
              <w:rFonts w:asciiTheme="minorHAnsi" w:eastAsiaTheme="minorEastAsia" w:hAnsiTheme="minorHAnsi" w:cstheme="minorBidi"/>
              <w:kern w:val="2"/>
              <w:sz w:val="22"/>
              <w:szCs w:val="22"/>
              <w14:ligatures w14:val="standardContextual"/>
            </w:rPr>
          </w:pPr>
          <w:hyperlink w:anchor="_Toc150245733" w:history="1">
            <w:r w:rsidR="006F4EC3" w:rsidRPr="00660EC2">
              <w:rPr>
                <w:rStyle w:val="Hyperlink"/>
              </w:rPr>
              <w:t>Appendix 1 - Further information</w:t>
            </w:r>
            <w:r w:rsidR="006F4EC3">
              <w:rPr>
                <w:webHidden/>
              </w:rPr>
              <w:tab/>
            </w:r>
            <w:r w:rsidR="006F4EC3">
              <w:rPr>
                <w:webHidden/>
              </w:rPr>
              <w:fldChar w:fldCharType="begin"/>
            </w:r>
            <w:r w:rsidR="006F4EC3">
              <w:rPr>
                <w:webHidden/>
              </w:rPr>
              <w:instrText xml:space="preserve"> PAGEREF _Toc150245733 \h </w:instrText>
            </w:r>
            <w:r w:rsidR="006F4EC3">
              <w:rPr>
                <w:webHidden/>
              </w:rPr>
            </w:r>
            <w:r w:rsidR="006F4EC3">
              <w:rPr>
                <w:webHidden/>
              </w:rPr>
              <w:fldChar w:fldCharType="separate"/>
            </w:r>
            <w:r w:rsidR="006F4EC3">
              <w:rPr>
                <w:webHidden/>
              </w:rPr>
              <w:t>31</w:t>
            </w:r>
            <w:r w:rsidR="006F4EC3">
              <w:rPr>
                <w:webHidden/>
              </w:rPr>
              <w:fldChar w:fldCharType="end"/>
            </w:r>
          </w:hyperlink>
        </w:p>
        <w:p w14:paraId="354DF07E" w14:textId="5DC3B22F" w:rsidR="006F4EC3" w:rsidRDefault="00900B8E" w:rsidP="00136CEF">
          <w:pPr>
            <w:pStyle w:val="TOC1"/>
            <w:ind w:left="720"/>
            <w:rPr>
              <w:rFonts w:asciiTheme="minorHAnsi" w:eastAsiaTheme="minorEastAsia" w:hAnsiTheme="minorHAnsi" w:cstheme="minorBidi"/>
              <w:kern w:val="2"/>
              <w:sz w:val="22"/>
              <w:szCs w:val="22"/>
              <w14:ligatures w14:val="standardContextual"/>
            </w:rPr>
          </w:pPr>
          <w:hyperlink w:anchor="_Toc150245734" w:history="1">
            <w:r w:rsidR="006F4EC3" w:rsidRPr="00660EC2">
              <w:rPr>
                <w:rStyle w:val="Hyperlink"/>
              </w:rPr>
              <w:t>Glossary</w:t>
            </w:r>
            <w:r w:rsidR="006F4EC3">
              <w:rPr>
                <w:webHidden/>
              </w:rPr>
              <w:tab/>
            </w:r>
            <w:r w:rsidR="006F4EC3">
              <w:rPr>
                <w:webHidden/>
              </w:rPr>
              <w:fldChar w:fldCharType="begin"/>
            </w:r>
            <w:r w:rsidR="006F4EC3">
              <w:rPr>
                <w:webHidden/>
              </w:rPr>
              <w:instrText xml:space="preserve"> PAGEREF _Toc150245734 \h </w:instrText>
            </w:r>
            <w:r w:rsidR="006F4EC3">
              <w:rPr>
                <w:webHidden/>
              </w:rPr>
            </w:r>
            <w:r w:rsidR="006F4EC3">
              <w:rPr>
                <w:webHidden/>
              </w:rPr>
              <w:fldChar w:fldCharType="separate"/>
            </w:r>
            <w:r w:rsidR="006F4EC3">
              <w:rPr>
                <w:webHidden/>
              </w:rPr>
              <w:t>31</w:t>
            </w:r>
            <w:r w:rsidR="006F4EC3">
              <w:rPr>
                <w:webHidden/>
              </w:rPr>
              <w:fldChar w:fldCharType="end"/>
            </w:r>
          </w:hyperlink>
        </w:p>
        <w:p w14:paraId="0A0FD403" w14:textId="266DE1AB" w:rsidR="006F4EC3" w:rsidRDefault="00900B8E" w:rsidP="00136CEF">
          <w:pPr>
            <w:pStyle w:val="TOC1"/>
            <w:ind w:left="720"/>
            <w:rPr>
              <w:rFonts w:asciiTheme="minorHAnsi" w:eastAsiaTheme="minorEastAsia" w:hAnsiTheme="minorHAnsi" w:cstheme="minorBidi"/>
              <w:kern w:val="2"/>
              <w:sz w:val="22"/>
              <w:szCs w:val="22"/>
              <w14:ligatures w14:val="standardContextual"/>
            </w:rPr>
          </w:pPr>
          <w:hyperlink w:anchor="_Toc150245735" w:history="1">
            <w:r w:rsidR="006F4EC3" w:rsidRPr="00660EC2">
              <w:rPr>
                <w:rStyle w:val="Hyperlink"/>
              </w:rPr>
              <w:t>Time series and adjustment of scheme data</w:t>
            </w:r>
            <w:r w:rsidR="006F4EC3">
              <w:rPr>
                <w:webHidden/>
              </w:rPr>
              <w:tab/>
            </w:r>
            <w:r w:rsidR="006F4EC3">
              <w:rPr>
                <w:webHidden/>
              </w:rPr>
              <w:fldChar w:fldCharType="begin"/>
            </w:r>
            <w:r w:rsidR="006F4EC3">
              <w:rPr>
                <w:webHidden/>
              </w:rPr>
              <w:instrText xml:space="preserve"> PAGEREF _Toc150245735 \h </w:instrText>
            </w:r>
            <w:r w:rsidR="006F4EC3">
              <w:rPr>
                <w:webHidden/>
              </w:rPr>
            </w:r>
            <w:r w:rsidR="006F4EC3">
              <w:rPr>
                <w:webHidden/>
              </w:rPr>
              <w:fldChar w:fldCharType="separate"/>
            </w:r>
            <w:r w:rsidR="006F4EC3">
              <w:rPr>
                <w:webHidden/>
              </w:rPr>
              <w:t>32</w:t>
            </w:r>
            <w:r w:rsidR="006F4EC3">
              <w:rPr>
                <w:webHidden/>
              </w:rPr>
              <w:fldChar w:fldCharType="end"/>
            </w:r>
          </w:hyperlink>
        </w:p>
        <w:p w14:paraId="14ACD7FF" w14:textId="1C454072" w:rsidR="0031228B" w:rsidRDefault="0031228B">
          <w:r>
            <w:rPr>
              <w:b/>
              <w:bCs/>
              <w:noProof/>
            </w:rPr>
            <w:fldChar w:fldCharType="end"/>
          </w:r>
        </w:p>
      </w:sdtContent>
    </w:sdt>
    <w:p w14:paraId="4D8F9588" w14:textId="77777777" w:rsidR="00E1127D" w:rsidRDefault="00E1127D">
      <w:pPr>
        <w:spacing w:after="200" w:line="276" w:lineRule="auto"/>
        <w:jc w:val="left"/>
      </w:pPr>
      <w:r>
        <w:br w:type="page"/>
      </w:r>
    </w:p>
    <w:p w14:paraId="5459C851" w14:textId="77777777" w:rsidR="00B108F1" w:rsidRDefault="00B108F1" w:rsidP="00B108F1">
      <w:pPr>
        <w:pStyle w:val="Title"/>
        <w:tabs>
          <w:tab w:val="center" w:pos="8222"/>
        </w:tabs>
      </w:pPr>
      <w:bookmarkStart w:id="1" w:name="_Toc56599599"/>
      <w:bookmarkStart w:id="2" w:name="_Toc79584098"/>
      <w:bookmarkStart w:id="3" w:name="_Toc80188295"/>
      <w:bookmarkStart w:id="4" w:name="_Toc150245653"/>
      <w:bookmarkStart w:id="5" w:name="_Toc56776895"/>
      <w:r>
        <w:lastRenderedPageBreak/>
        <w:t>Foreword</w:t>
      </w:r>
      <w:bookmarkEnd w:id="1"/>
      <w:bookmarkEnd w:id="2"/>
      <w:bookmarkEnd w:id="3"/>
      <w:bookmarkEnd w:id="4"/>
    </w:p>
    <w:p w14:paraId="1366A02C" w14:textId="01B0B3E2" w:rsidR="00B108F1" w:rsidRDefault="00B108F1" w:rsidP="00B108F1">
      <w:r>
        <w:t>This is the 2</w:t>
      </w:r>
      <w:r w:rsidR="001B7B4C">
        <w:t>5</w:t>
      </w:r>
      <w:r w:rsidR="00662794">
        <w:rPr>
          <w:vertAlign w:val="superscript"/>
        </w:rPr>
        <w:t>th</w:t>
      </w:r>
      <w:r>
        <w:t xml:space="preserve"> edition of the Comparative Performance Monitoring (CPM) report which provides trend analyses about work health and safety</w:t>
      </w:r>
      <w:r w:rsidR="00BA0B6C">
        <w:t xml:space="preserve"> (WHS)</w:t>
      </w:r>
      <w:r>
        <w:t xml:space="preserve"> and workers’ compensation schemes operating in Australia and New Zealand. </w:t>
      </w:r>
    </w:p>
    <w:p w14:paraId="631B7C2B" w14:textId="0C66B388" w:rsidR="00B108F1" w:rsidRDefault="00B108F1" w:rsidP="00B108F1">
      <w:r>
        <w:t>This report has been compiled and coordinated by Safe Work Australia with assistance from representatives of all</w:t>
      </w:r>
      <w:r w:rsidR="00BA0B6C">
        <w:t xml:space="preserve"> WHS</w:t>
      </w:r>
      <w:r>
        <w:t xml:space="preserve"> and workers’ compensation authorities in Australia and New Zealand. Through a partnership of governments, employers and employees, Safe</w:t>
      </w:r>
      <w:r w:rsidR="00780CE7">
        <w:t> </w:t>
      </w:r>
      <w:r>
        <w:t>Work</w:t>
      </w:r>
      <w:r w:rsidR="00780CE7">
        <w:t> </w:t>
      </w:r>
      <w:r>
        <w:t>Australia leads the development of national policy to improve WHS and workers’ compensation arrangements across Australia.</w:t>
      </w:r>
    </w:p>
    <w:p w14:paraId="31EFB775" w14:textId="77777777" w:rsidR="00AD7B88" w:rsidRPr="00C314EB" w:rsidRDefault="00AD7B88" w:rsidP="00AD7B88">
      <w:bookmarkStart w:id="6" w:name="_Hlk54968570"/>
      <w:r w:rsidRPr="00C314EB">
        <w:t>The report is presented in the following sections:</w:t>
      </w:r>
    </w:p>
    <w:p w14:paraId="545DDA45" w14:textId="21999F60" w:rsidR="00AD7B88" w:rsidRPr="004E0EDF" w:rsidRDefault="00AD7B88" w:rsidP="00474F06">
      <w:pPr>
        <w:pStyle w:val="ListParagraph"/>
        <w:numPr>
          <w:ilvl w:val="0"/>
          <w:numId w:val="8"/>
        </w:numPr>
        <w:tabs>
          <w:tab w:val="left" w:pos="709"/>
        </w:tabs>
        <w:spacing w:before="120"/>
        <w:ind w:left="714" w:hanging="357"/>
        <w:rPr>
          <w:rStyle w:val="SWALinkChar"/>
          <w:rFonts w:eastAsiaTheme="majorEastAsia"/>
          <w:i/>
          <w:u w:val="none"/>
        </w:rPr>
      </w:pPr>
      <w:bookmarkStart w:id="7" w:name="_Hlk79738017"/>
      <w:r w:rsidRPr="00C314EB">
        <w:rPr>
          <w:rStyle w:val="SWALinkChar"/>
          <w:rFonts w:eastAsiaTheme="majorEastAsia"/>
          <w:i/>
        </w:rPr>
        <w:t>Work health and safety performance</w:t>
      </w:r>
      <w:r w:rsidRPr="00C314EB">
        <w:rPr>
          <w:rStyle w:val="SWALinkChar"/>
          <w:rFonts w:eastAsiaTheme="majorEastAsia"/>
          <w:iCs/>
        </w:rPr>
        <w:t xml:space="preserve"> </w:t>
      </w:r>
      <w:r w:rsidRPr="004E0EDF">
        <w:rPr>
          <w:rStyle w:val="SWALinkChar"/>
          <w:rFonts w:eastAsiaTheme="majorEastAsia"/>
          <w:iCs/>
          <w:u w:val="none"/>
        </w:rPr>
        <w:t>– provides an overview of WHS performance across Australia and New Zealand through analysing trends in serious claim rates and work-related fatalities across jurisdictions</w:t>
      </w:r>
      <w:r w:rsidR="00FB25BF">
        <w:rPr>
          <w:rStyle w:val="SWALinkChar"/>
          <w:rFonts w:eastAsiaTheme="majorEastAsia"/>
          <w:iCs/>
          <w:u w:val="none"/>
        </w:rPr>
        <w:t xml:space="preserve"> </w:t>
      </w:r>
      <w:r w:rsidR="00FB25BF" w:rsidRPr="004E0EDF">
        <w:rPr>
          <w:rStyle w:val="SWALinkChar"/>
          <w:rFonts w:eastAsiaTheme="majorEastAsia"/>
          <w:iCs/>
          <w:u w:val="none"/>
        </w:rPr>
        <w:t>(this section)</w:t>
      </w:r>
      <w:r w:rsidRPr="004E0EDF">
        <w:rPr>
          <w:rStyle w:val="SWALinkChar"/>
          <w:rFonts w:eastAsiaTheme="majorEastAsia"/>
          <w:iCs/>
          <w:u w:val="none"/>
        </w:rPr>
        <w:t>.</w:t>
      </w:r>
    </w:p>
    <w:p w14:paraId="2F8B6FF2" w14:textId="756D1111" w:rsidR="00AD7B88" w:rsidRPr="004E0EDF" w:rsidRDefault="00AD7B88" w:rsidP="00474F06">
      <w:pPr>
        <w:pStyle w:val="ListParagraph"/>
        <w:numPr>
          <w:ilvl w:val="0"/>
          <w:numId w:val="8"/>
        </w:numPr>
        <w:tabs>
          <w:tab w:val="left" w:pos="709"/>
        </w:tabs>
        <w:spacing w:before="120"/>
        <w:ind w:left="714" w:hanging="357"/>
        <w:rPr>
          <w:rStyle w:val="SWALinkChar"/>
          <w:rFonts w:eastAsiaTheme="majorEastAsia"/>
          <w:i/>
          <w:u w:val="none"/>
        </w:rPr>
      </w:pPr>
      <w:bookmarkStart w:id="8" w:name="_Hlk83800420"/>
      <w:r w:rsidRPr="004E0EDF">
        <w:rPr>
          <w:rStyle w:val="SWALinkChar"/>
          <w:rFonts w:eastAsiaTheme="majorEastAsia"/>
          <w:i/>
        </w:rPr>
        <w:t>Work health and safety compliance and enforcement activities</w:t>
      </w:r>
      <w:r w:rsidRPr="004E0EDF">
        <w:rPr>
          <w:rStyle w:val="SWALinkChar"/>
          <w:rFonts w:eastAsiaTheme="majorEastAsia"/>
          <w:i/>
          <w:u w:val="none"/>
        </w:rPr>
        <w:t xml:space="preserve"> </w:t>
      </w:r>
      <w:bookmarkEnd w:id="8"/>
      <w:r w:rsidRPr="004E0EDF">
        <w:rPr>
          <w:rStyle w:val="SWALinkChar"/>
          <w:rFonts w:eastAsiaTheme="majorEastAsia"/>
          <w:iCs/>
          <w:u w:val="none"/>
        </w:rPr>
        <w:t xml:space="preserve">– includes a jurisdictional comparison of workplace interventions, inspectorate activity, safety notices, enforceable undertakings, legal </w:t>
      </w:r>
      <w:proofErr w:type="gramStart"/>
      <w:r w:rsidRPr="004E0EDF">
        <w:rPr>
          <w:rStyle w:val="SWALinkChar"/>
          <w:rFonts w:eastAsiaTheme="majorEastAsia"/>
          <w:iCs/>
          <w:u w:val="none"/>
        </w:rPr>
        <w:t>proceedings</w:t>
      </w:r>
      <w:proofErr w:type="gramEnd"/>
      <w:r w:rsidRPr="004E0EDF">
        <w:rPr>
          <w:rStyle w:val="SWALinkChar"/>
          <w:rFonts w:eastAsiaTheme="majorEastAsia"/>
          <w:iCs/>
          <w:u w:val="none"/>
        </w:rPr>
        <w:t xml:space="preserve"> and fines.</w:t>
      </w:r>
    </w:p>
    <w:p w14:paraId="13525974" w14:textId="77777777" w:rsidR="00AD7B88" w:rsidRPr="004E0EDF" w:rsidRDefault="00AD7B88" w:rsidP="00474F06">
      <w:pPr>
        <w:pStyle w:val="ListParagraph"/>
        <w:numPr>
          <w:ilvl w:val="0"/>
          <w:numId w:val="8"/>
        </w:numPr>
        <w:tabs>
          <w:tab w:val="left" w:pos="709"/>
        </w:tabs>
        <w:spacing w:before="120"/>
        <w:ind w:left="714" w:hanging="357"/>
        <w:rPr>
          <w:rStyle w:val="SWALinkChar"/>
          <w:rFonts w:eastAsiaTheme="majorEastAsia"/>
          <w:i/>
          <w:u w:val="none"/>
        </w:rPr>
      </w:pPr>
      <w:r w:rsidRPr="004E0EDF">
        <w:rPr>
          <w:rStyle w:val="SWALinkChar"/>
          <w:rFonts w:eastAsiaTheme="majorEastAsia"/>
          <w:i/>
        </w:rPr>
        <w:t xml:space="preserve">Workers’ compensation premiums </w:t>
      </w:r>
      <w:r w:rsidRPr="004E0EDF">
        <w:rPr>
          <w:rStyle w:val="SWALinkChar"/>
          <w:rFonts w:eastAsiaTheme="majorEastAsia"/>
          <w:i/>
          <w:u w:val="none"/>
        </w:rPr>
        <w:t xml:space="preserve">- </w:t>
      </w:r>
      <w:r w:rsidRPr="004E0EDF">
        <w:rPr>
          <w:rStyle w:val="SWALinkChar"/>
          <w:rFonts w:eastAsiaTheme="majorEastAsia"/>
          <w:iCs/>
          <w:u w:val="none"/>
        </w:rPr>
        <w:t>includes a national and jurisdictional overview of the standardised average premium rates by industry in the past 5 years.</w:t>
      </w:r>
    </w:p>
    <w:p w14:paraId="593E7601" w14:textId="77777777" w:rsidR="00AD7B88" w:rsidRPr="004E0EDF" w:rsidRDefault="00AD7B88" w:rsidP="00474F06">
      <w:pPr>
        <w:pStyle w:val="ListParagraph"/>
        <w:numPr>
          <w:ilvl w:val="0"/>
          <w:numId w:val="8"/>
        </w:numPr>
        <w:tabs>
          <w:tab w:val="left" w:pos="709"/>
        </w:tabs>
        <w:spacing w:before="120"/>
        <w:ind w:left="714" w:hanging="357"/>
        <w:rPr>
          <w:rStyle w:val="SWALinkChar"/>
          <w:rFonts w:eastAsiaTheme="majorEastAsia"/>
          <w:i/>
          <w:u w:val="none"/>
        </w:rPr>
      </w:pPr>
      <w:r w:rsidRPr="004E0EDF">
        <w:rPr>
          <w:rStyle w:val="SWALinkChar"/>
          <w:rFonts w:eastAsiaTheme="majorEastAsia"/>
          <w:i/>
        </w:rPr>
        <w:t>Workers’ compensation funding ratio</w:t>
      </w:r>
      <w:r>
        <w:rPr>
          <w:rStyle w:val="SWALinkChar"/>
          <w:rFonts w:eastAsiaTheme="majorEastAsia"/>
          <w:i/>
        </w:rPr>
        <w:t>s</w:t>
      </w:r>
      <w:r w:rsidRPr="004E0EDF">
        <w:rPr>
          <w:rStyle w:val="SWALinkChar"/>
          <w:rFonts w:eastAsiaTheme="majorEastAsia"/>
          <w:i/>
          <w:u w:val="none"/>
        </w:rPr>
        <w:t xml:space="preserve"> – </w:t>
      </w:r>
      <w:r w:rsidRPr="004E0EDF">
        <w:rPr>
          <w:rStyle w:val="SWALinkChar"/>
          <w:rFonts w:eastAsiaTheme="majorEastAsia"/>
          <w:iCs/>
          <w:u w:val="none"/>
        </w:rPr>
        <w:t>compares the differences in scheme funding arrangements.</w:t>
      </w:r>
    </w:p>
    <w:p w14:paraId="4C41ED6A" w14:textId="77777777" w:rsidR="00AD7B88" w:rsidRPr="004E0EDF" w:rsidRDefault="00AD7B88" w:rsidP="00474F06">
      <w:pPr>
        <w:pStyle w:val="ListParagraph"/>
        <w:numPr>
          <w:ilvl w:val="0"/>
          <w:numId w:val="8"/>
        </w:numPr>
        <w:tabs>
          <w:tab w:val="left" w:pos="709"/>
        </w:tabs>
        <w:spacing w:before="120"/>
        <w:ind w:left="714" w:hanging="357"/>
        <w:rPr>
          <w:rStyle w:val="SWALinkChar"/>
          <w:rFonts w:eastAsiaTheme="majorEastAsia"/>
          <w:i/>
          <w:u w:val="none"/>
        </w:rPr>
      </w:pPr>
      <w:r w:rsidRPr="004E0EDF">
        <w:rPr>
          <w:rStyle w:val="SWALinkChar"/>
          <w:rFonts w:eastAsiaTheme="majorEastAsia"/>
          <w:i/>
        </w:rPr>
        <w:t>Workers’ compensation disputes</w:t>
      </w:r>
      <w:r w:rsidRPr="004E0EDF">
        <w:rPr>
          <w:rStyle w:val="SWALinkChar"/>
          <w:rFonts w:eastAsiaTheme="majorEastAsia"/>
          <w:i/>
          <w:u w:val="none"/>
        </w:rPr>
        <w:t xml:space="preserve"> </w:t>
      </w:r>
      <w:r w:rsidRPr="004E0EDF">
        <w:rPr>
          <w:rStyle w:val="SWALinkChar"/>
          <w:rFonts w:eastAsiaTheme="majorEastAsia"/>
          <w:iCs/>
          <w:u w:val="none"/>
        </w:rPr>
        <w:t>– includes information about disputes against an insurer’s decision or decisions relating to compensation.</w:t>
      </w:r>
    </w:p>
    <w:bookmarkEnd w:id="7"/>
    <w:p w14:paraId="183DC850" w14:textId="79E3D7C8" w:rsidR="00AD7B88" w:rsidRDefault="00AD7B88" w:rsidP="00AD7B88">
      <w:r w:rsidRPr="00C314EB">
        <w:t xml:space="preserve">Previous editions of the CPM </w:t>
      </w:r>
      <w:r w:rsidRPr="00B37873">
        <w:t xml:space="preserve">report also included </w:t>
      </w:r>
      <w:bookmarkStart w:id="9" w:name="_Hlk80886161"/>
      <w:r>
        <w:t xml:space="preserve">data on </w:t>
      </w:r>
      <w:r w:rsidRPr="00FD0209">
        <w:t>Workers’ Compensation expenditure (</w:t>
      </w:r>
      <w:r>
        <w:t xml:space="preserve">under the </w:t>
      </w:r>
      <w:r w:rsidRPr="007A6702">
        <w:rPr>
          <w:rStyle w:val="SWALinkChar"/>
          <w:rFonts w:eastAsiaTheme="majorEastAsia"/>
          <w:i/>
          <w:u w:val="none"/>
        </w:rPr>
        <w:t xml:space="preserve">Workers’ compensation funding – assets, </w:t>
      </w:r>
      <w:proofErr w:type="gramStart"/>
      <w:r w:rsidRPr="007A6702">
        <w:rPr>
          <w:rStyle w:val="SWALinkChar"/>
          <w:rFonts w:eastAsiaTheme="majorEastAsia"/>
          <w:i/>
          <w:u w:val="none"/>
        </w:rPr>
        <w:t>liabilities</w:t>
      </w:r>
      <w:proofErr w:type="gramEnd"/>
      <w:r w:rsidRPr="007A6702">
        <w:rPr>
          <w:rStyle w:val="SWALinkChar"/>
          <w:rFonts w:eastAsiaTheme="majorEastAsia"/>
          <w:i/>
          <w:u w:val="none"/>
        </w:rPr>
        <w:t xml:space="preserve"> and expenditure </w:t>
      </w:r>
      <w:r w:rsidRPr="007A6702">
        <w:rPr>
          <w:rStyle w:val="SWALinkChar"/>
          <w:rFonts w:eastAsiaTheme="majorEastAsia"/>
          <w:iCs/>
          <w:u w:val="none"/>
        </w:rPr>
        <w:t>section)</w:t>
      </w:r>
      <w:r>
        <w:t xml:space="preserve"> and</w:t>
      </w:r>
      <w:r w:rsidRPr="00FD0209">
        <w:t xml:space="preserve"> </w:t>
      </w:r>
      <w:r>
        <w:t xml:space="preserve">scenarios that </w:t>
      </w:r>
      <w:r w:rsidRPr="00FD0209">
        <w:t>illustrate</w:t>
      </w:r>
      <w:r>
        <w:t>d</w:t>
      </w:r>
      <w:r w:rsidRPr="00FD0209">
        <w:t xml:space="preserve"> the differences in entitlement levels across jurisdictions </w:t>
      </w:r>
      <w:r>
        <w:t xml:space="preserve">(under the </w:t>
      </w:r>
      <w:r w:rsidRPr="00965822">
        <w:rPr>
          <w:i/>
          <w:iCs/>
          <w:u w:val="single"/>
        </w:rPr>
        <w:t>Entitlements under workers’ compensation</w:t>
      </w:r>
      <w:r w:rsidRPr="00FD0209">
        <w:rPr>
          <w:i/>
          <w:iCs/>
        </w:rPr>
        <w:t xml:space="preserve"> </w:t>
      </w:r>
      <w:r w:rsidRPr="00FD0209">
        <w:t>section</w:t>
      </w:r>
      <w:r>
        <w:t>)</w:t>
      </w:r>
      <w:r w:rsidRPr="00FD0209">
        <w:t xml:space="preserve">. This </w:t>
      </w:r>
      <w:r>
        <w:t>information will be moved to the</w:t>
      </w:r>
      <w:r w:rsidRPr="005571A1">
        <w:t xml:space="preserve"> </w:t>
      </w:r>
      <w:hyperlink r:id="rId17" w:history="1">
        <w:r w:rsidRPr="005571A1">
          <w:rPr>
            <w:rStyle w:val="Hyperlink"/>
            <w:i/>
            <w:iCs/>
            <w:color w:val="auto"/>
          </w:rPr>
          <w:t>Comparison of workers’ compensation arrangements in Australia and New Zealand</w:t>
        </w:r>
      </w:hyperlink>
      <w:r w:rsidRPr="005571A1">
        <w:rPr>
          <w:rStyle w:val="Hyperlink"/>
          <w:i/>
          <w:iCs/>
          <w:color w:val="auto"/>
          <w:u w:val="none"/>
        </w:rPr>
        <w:t xml:space="preserve"> </w:t>
      </w:r>
      <w:r w:rsidRPr="005571A1">
        <w:rPr>
          <w:rStyle w:val="Hyperlink"/>
          <w:color w:val="auto"/>
          <w:u w:val="none"/>
        </w:rPr>
        <w:t>which provides information biennially about workers’ compensation arrangements and the differences between schemes in Australia and New</w:t>
      </w:r>
      <w:r>
        <w:rPr>
          <w:rStyle w:val="Hyperlink"/>
          <w:color w:val="auto"/>
          <w:u w:val="none"/>
        </w:rPr>
        <w:t> </w:t>
      </w:r>
      <w:r w:rsidRPr="005571A1">
        <w:rPr>
          <w:rStyle w:val="Hyperlink"/>
          <w:color w:val="auto"/>
          <w:u w:val="none"/>
        </w:rPr>
        <w:t>Zealand.</w:t>
      </w:r>
    </w:p>
    <w:bookmarkEnd w:id="9"/>
    <w:p w14:paraId="52C588A1" w14:textId="77777777" w:rsidR="00B108F1" w:rsidRDefault="00B108F1" w:rsidP="00B108F1">
      <w:pPr>
        <w:rPr>
          <w:i/>
          <w:iCs/>
        </w:rPr>
      </w:pPr>
      <w:r>
        <w:rPr>
          <w:i/>
          <w:iCs/>
        </w:rPr>
        <w:t>About the data</w:t>
      </w:r>
    </w:p>
    <w:p w14:paraId="7F1769F7" w14:textId="7FE322E7" w:rsidR="00B108F1" w:rsidRDefault="00B108F1" w:rsidP="00B108F1">
      <w:r>
        <w:t xml:space="preserve">Data in this publication may differ from jurisdictional annual reports due to the use of different definitions and the application of adjustment factors to aid in the comparability of data. </w:t>
      </w:r>
    </w:p>
    <w:p w14:paraId="18882EF5" w14:textId="3F48818F" w:rsidR="00302585" w:rsidRDefault="00302585" w:rsidP="0050454C">
      <w:pPr>
        <w:pStyle w:val="SWABullets"/>
        <w:numPr>
          <w:ilvl w:val="0"/>
          <w:numId w:val="0"/>
        </w:numPr>
        <w:contextualSpacing w:val="0"/>
      </w:pPr>
      <w:r>
        <w:t>The CPM does not currently include information or data from other industry-specific regulators that have responsibilities with respect to WHS and workers’ compensation. These include national industry-based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32D14B63" w14:textId="7F4C5127" w:rsidR="008400BE" w:rsidRDefault="00942BE9" w:rsidP="00B108F1">
      <w:r w:rsidRPr="00942BE9">
        <w:t xml:space="preserve">In this report ‘Australian Government’ </w:t>
      </w:r>
      <w:r w:rsidR="004E616F">
        <w:t xml:space="preserve">(Aus Gov) </w:t>
      </w:r>
      <w:r w:rsidRPr="00942BE9">
        <w:t>is used for indicators relating to WHS and workers’ compensation matters under the Australian Government jurisdiction, while ‘Comcare’ is used for the indicators relating to premium rates</w:t>
      </w:r>
      <w:r>
        <w:t>.</w:t>
      </w:r>
      <w:r w:rsidR="00660C0F">
        <w:t xml:space="preserve"> </w:t>
      </w:r>
    </w:p>
    <w:p w14:paraId="705A2155" w14:textId="1FC14490" w:rsidR="008400BE" w:rsidRDefault="008400BE" w:rsidP="008400BE">
      <w:r w:rsidRPr="00086AB2">
        <w:t>Australian Government employees working in each jurisdiction have been included in Australian Government figures rather than state or territory results. Australian Capital Territory Public Service employees are covered by the Comcare scheme but operate under the</w:t>
      </w:r>
      <w:r w:rsidR="00BA0B6C">
        <w:t xml:space="preserve"> WHS</w:t>
      </w:r>
      <w:r w:rsidRPr="00086AB2">
        <w:t xml:space="preserve"> provisions of the Australian Capital Territory. These employees and their claims have been combined with the </w:t>
      </w:r>
      <w:r>
        <w:t>Australian Capital Territory p</w:t>
      </w:r>
      <w:r w:rsidRPr="00086AB2">
        <w:t xml:space="preserve">rivate sector employees for reporting outcomes </w:t>
      </w:r>
      <w:r>
        <w:t xml:space="preserve">in </w:t>
      </w:r>
      <w:r w:rsidRPr="00086AB2">
        <w:t xml:space="preserve">this </w:t>
      </w:r>
      <w:r>
        <w:t>section</w:t>
      </w:r>
      <w:r w:rsidRPr="00086AB2">
        <w:t>.</w:t>
      </w:r>
    </w:p>
    <w:p w14:paraId="39FAAB6E" w14:textId="77777777" w:rsidR="00E5781C" w:rsidRDefault="00E5781C" w:rsidP="00E5781C">
      <w:r w:rsidRPr="0072053A">
        <w:t>In September 2023, Safe Work Australia implemented improvements to the estimates of the working population used to calculate injury rates from the National Dataset for Compensation</w:t>
      </w:r>
      <w:r>
        <w:t xml:space="preserve"> Based</w:t>
      </w:r>
      <w:r w:rsidRPr="0072053A">
        <w:t xml:space="preserve"> Statistics (NDS). As a result of these changes, a break in series occurs for work-related injury frequency and incidence rates using the NDS from 2021-22 onwards. Safe Work Australia advises caution when interpreting time series changes for rates calculated from the NDS spanning the period before and after this change.</w:t>
      </w:r>
    </w:p>
    <w:p w14:paraId="27D8860A" w14:textId="6A408CC6" w:rsidR="0058228A" w:rsidRDefault="0058228A" w:rsidP="008400BE"/>
    <w:bookmarkEnd w:id="5"/>
    <w:bookmarkEnd w:id="6"/>
    <w:p w14:paraId="03306514" w14:textId="1AA801DB" w:rsidR="004B79B6" w:rsidRPr="00086AB2" w:rsidRDefault="003535BF" w:rsidP="0055154B">
      <w:pPr>
        <w:sectPr w:rsidR="004B79B6" w:rsidRPr="00086AB2" w:rsidSect="00B02854">
          <w:headerReference w:type="first" r:id="rId18"/>
          <w:footerReference w:type="first" r:id="rId19"/>
          <w:pgSz w:w="11906" w:h="16838"/>
          <w:pgMar w:top="993" w:right="1800" w:bottom="993" w:left="1276" w:header="708" w:footer="708" w:gutter="0"/>
          <w:cols w:space="242"/>
          <w:titlePg/>
          <w:docGrid w:linePitch="360"/>
        </w:sectPr>
      </w:pPr>
      <w:r w:rsidRPr="00086AB2">
        <w:br w:type="page"/>
      </w:r>
      <w:r w:rsidR="0058228A">
        <w:lastRenderedPageBreak/>
        <w:t xml:space="preserve"> </w:t>
      </w:r>
    </w:p>
    <w:p w14:paraId="72A25474" w14:textId="77777777" w:rsidR="003411E8" w:rsidRPr="00086AB2" w:rsidRDefault="00486C4E" w:rsidP="00B51041">
      <w:pPr>
        <w:pStyle w:val="SWASectionnumberingheading"/>
        <w:rPr>
          <w:caps/>
        </w:rPr>
      </w:pPr>
      <w:bookmarkStart w:id="10" w:name="_Toc150245654"/>
      <w:r w:rsidRPr="00086AB2">
        <w:t>Serious c</w:t>
      </w:r>
      <w:r w:rsidR="00CE5E41" w:rsidRPr="00086AB2">
        <w:t>laims</w:t>
      </w:r>
      <w:bookmarkEnd w:id="10"/>
      <w:r w:rsidR="00020821">
        <w:t xml:space="preserve"> </w:t>
      </w:r>
    </w:p>
    <w:p w14:paraId="588EDC14" w14:textId="22536EFD" w:rsidR="00871001" w:rsidRDefault="00A45E9A" w:rsidP="00836CBF">
      <w:r w:rsidRPr="00086AB2">
        <w:t xml:space="preserve">Workers’ compensation data </w:t>
      </w:r>
      <w:r w:rsidR="00403869">
        <w:t>is one way to measure</w:t>
      </w:r>
      <w:r w:rsidR="00BA0B6C">
        <w:t xml:space="preserve"> </w:t>
      </w:r>
      <w:r>
        <w:t xml:space="preserve">WHS </w:t>
      </w:r>
      <w:r w:rsidRPr="00086AB2">
        <w:t>performance</w:t>
      </w:r>
      <w:r w:rsidR="00C436B5">
        <w:t xml:space="preserve"> as it provides an indication of people’s experiences with work-related injuries or illnesses</w:t>
      </w:r>
      <w:r w:rsidRPr="00086AB2">
        <w:t xml:space="preserve">. </w:t>
      </w:r>
      <w:r w:rsidR="00470777">
        <w:t>However,</w:t>
      </w:r>
      <w:r w:rsidR="009612E6">
        <w:t xml:space="preserve"> </w:t>
      </w:r>
      <w:r w:rsidRPr="00086AB2">
        <w:t>the data only cover</w:t>
      </w:r>
      <w:r>
        <w:t>s</w:t>
      </w:r>
      <w:r w:rsidRPr="00086AB2">
        <w:t xml:space="preserve"> those eligible for workers’ compensation and under</w:t>
      </w:r>
      <w:r w:rsidR="009612E6">
        <w:noBreakHyphen/>
      </w:r>
      <w:r w:rsidRPr="00086AB2">
        <w:t>report</w:t>
      </w:r>
      <w:r>
        <w:t>s</w:t>
      </w:r>
      <w:r w:rsidRPr="00086AB2">
        <w:t xml:space="preserve"> the incidence of </w:t>
      </w:r>
      <w:r w:rsidR="00470777">
        <w:t xml:space="preserve">work-related </w:t>
      </w:r>
      <w:r w:rsidRPr="00086AB2">
        <w:t>disease</w:t>
      </w:r>
      <w:r w:rsidR="00470777">
        <w:t>. While there are some limitations</w:t>
      </w:r>
      <w:r w:rsidRPr="00086AB2">
        <w:t xml:space="preserve">, the data still provide a good indication of </w:t>
      </w:r>
      <w:r>
        <w:t>WHS</w:t>
      </w:r>
      <w:r w:rsidRPr="00086AB2">
        <w:t xml:space="preserve"> trends.</w:t>
      </w:r>
    </w:p>
    <w:p w14:paraId="7D246E05" w14:textId="22242E40" w:rsidR="0058228A" w:rsidRDefault="00D10D6A" w:rsidP="0058228A">
      <w:r w:rsidRPr="00086AB2">
        <w:t xml:space="preserve">The data </w:t>
      </w:r>
      <w:r w:rsidR="00E73AA5" w:rsidRPr="00086AB2">
        <w:t xml:space="preserve">presented </w:t>
      </w:r>
      <w:r w:rsidRPr="00086AB2">
        <w:t xml:space="preserve">in this </w:t>
      </w:r>
      <w:r w:rsidR="00CE5E41" w:rsidRPr="00086AB2">
        <w:t>section</w:t>
      </w:r>
      <w:r w:rsidRPr="00086AB2">
        <w:t xml:space="preserve"> </w:t>
      </w:r>
      <w:r w:rsidR="00A45E9A">
        <w:t xml:space="preserve">relates to </w:t>
      </w:r>
      <w:r w:rsidRPr="00086AB2">
        <w:t xml:space="preserve">accepted </w:t>
      </w:r>
      <w:r w:rsidR="00CE5E41" w:rsidRPr="00086AB2">
        <w:t xml:space="preserve">serious </w:t>
      </w:r>
      <w:r w:rsidRPr="00086AB2">
        <w:t>workers’ compensation claims lodged in each financial year</w:t>
      </w:r>
      <w:r w:rsidR="0058228A">
        <w:t xml:space="preserve"> (</w:t>
      </w:r>
      <w:r w:rsidR="0058228A">
        <w:rPr>
          <w:bCs/>
        </w:rPr>
        <w:t>2016-17 to 2021-22p)</w:t>
      </w:r>
      <w:r w:rsidRPr="00086AB2">
        <w:t xml:space="preserve">. </w:t>
      </w:r>
      <w:r w:rsidR="00FB25BF">
        <w:t>S</w:t>
      </w:r>
      <w:r w:rsidR="00871001" w:rsidRPr="00FB25BF">
        <w:t>erious claims</w:t>
      </w:r>
      <w:r w:rsidR="00FB25BF" w:rsidRPr="00FB25BF">
        <w:t xml:space="preserve"> are</w:t>
      </w:r>
      <w:r w:rsidR="00871001" w:rsidRPr="00FB25BF">
        <w:t xml:space="preserve"> </w:t>
      </w:r>
      <w:r w:rsidR="00871001" w:rsidRPr="00086AB2">
        <w:t>claims relating to work-related injury or disease that result in a total absence from work of one working week or more</w:t>
      </w:r>
      <w:r w:rsidR="00FB25BF">
        <w:t>.</w:t>
      </w:r>
      <w:r w:rsidR="0058228A">
        <w:rPr>
          <w:bCs/>
        </w:rPr>
        <w:t xml:space="preserve"> Data for </w:t>
      </w:r>
      <w:r w:rsidR="00FB25BF" w:rsidRPr="00FB25BF">
        <w:rPr>
          <w:bCs/>
        </w:rPr>
        <w:t>202</w:t>
      </w:r>
      <w:r w:rsidR="0058228A">
        <w:rPr>
          <w:bCs/>
        </w:rPr>
        <w:t>1</w:t>
      </w:r>
      <w:r w:rsidR="00FB25BF" w:rsidRPr="00FB25BF">
        <w:rPr>
          <w:bCs/>
        </w:rPr>
        <w:t>–2</w:t>
      </w:r>
      <w:r w:rsidR="0058228A">
        <w:rPr>
          <w:bCs/>
        </w:rPr>
        <w:t>2</w:t>
      </w:r>
      <w:r w:rsidR="00FB25BF" w:rsidRPr="00FB25BF">
        <w:rPr>
          <w:bCs/>
        </w:rPr>
        <w:t xml:space="preserve"> </w:t>
      </w:r>
      <w:r w:rsidR="0058228A">
        <w:t>is preliminary (denoted by ‘p’) and subject to revision in future years as claims are finalised.</w:t>
      </w:r>
      <w:r w:rsidR="0058228A" w:rsidRPr="0058228A">
        <w:t xml:space="preserve"> </w:t>
      </w:r>
    </w:p>
    <w:p w14:paraId="183B1343" w14:textId="16238E15" w:rsidR="0058228A" w:rsidRDefault="0058228A" w:rsidP="0058228A">
      <w:r>
        <w:t>Comparisons of preliminary and non-preliminary data should be made with caution. Non</w:t>
      </w:r>
      <w:r>
        <w:noBreakHyphen/>
        <w:t>preliminary data are more likely to have been finalised and are generally more accurate than preliminary data.</w:t>
      </w:r>
      <w:r w:rsidRPr="00DE400F">
        <w:t xml:space="preserve"> </w:t>
      </w:r>
      <w:r>
        <w:t>In this section</w:t>
      </w:r>
      <w:r w:rsidRPr="004A5852">
        <w:rPr>
          <w:rStyle w:val="SWALinkChar"/>
          <w:rFonts w:eastAsiaTheme="majorEastAsia"/>
          <w:iCs/>
          <w:u w:val="none"/>
        </w:rPr>
        <w:t xml:space="preserve">, </w:t>
      </w:r>
      <w:r w:rsidRPr="004A5852">
        <w:t>co</w:t>
      </w:r>
      <w:r w:rsidRPr="00DE400F">
        <w:t>mparisons over time have been made</w:t>
      </w:r>
      <w:r>
        <w:t xml:space="preserve"> with</w:t>
      </w:r>
      <w:r w:rsidRPr="00DE400F">
        <w:t xml:space="preserve"> the latest financial year excluded. </w:t>
      </w:r>
    </w:p>
    <w:p w14:paraId="5C0D504F" w14:textId="0C49D3BA" w:rsidR="0058228A" w:rsidRDefault="00965822" w:rsidP="0058228A">
      <w:r>
        <w:t xml:space="preserve">Detailed denominator data is not available for Seacare and New Zealand have not made a National Dataset for Compensation Based Statistics (NDS) data submission. </w:t>
      </w:r>
      <w:r w:rsidR="00896069">
        <w:t>Therefore,</w:t>
      </w:r>
      <w:r>
        <w:t xml:space="preserve"> incidence and frequency rates have not been calculated for Seacare and New Zealand.</w:t>
      </w:r>
    </w:p>
    <w:p w14:paraId="689787F3" w14:textId="35CEFB7D" w:rsidR="00FB25BF" w:rsidRDefault="00CE5E41" w:rsidP="00FB25BF">
      <w:pPr>
        <w:pStyle w:val="SWASectionnum2"/>
      </w:pPr>
      <w:bookmarkStart w:id="11" w:name="_Toc150245655"/>
      <w:r w:rsidRPr="00086AB2">
        <w:t xml:space="preserve">Incidence </w:t>
      </w:r>
      <w:r w:rsidR="003C1E2B" w:rsidRPr="00086AB2">
        <w:t>r</w:t>
      </w:r>
      <w:r w:rsidRPr="00086AB2">
        <w:t>ate</w:t>
      </w:r>
      <w:bookmarkEnd w:id="11"/>
      <w:r w:rsidR="00CA3385">
        <w:t xml:space="preserve"> </w:t>
      </w:r>
    </w:p>
    <w:p w14:paraId="76F03A68" w14:textId="5344D676" w:rsidR="00FB25BF" w:rsidRPr="00086AB2" w:rsidRDefault="00FB25BF" w:rsidP="00FB25BF">
      <w:r>
        <w:t xml:space="preserve">The incidence rate is expressed as the </w:t>
      </w:r>
      <w:r w:rsidRPr="00FB25BF">
        <w:t>number of serious workers' compensation claims per 1,000 employees</w:t>
      </w:r>
      <w:r>
        <w:t>.</w:t>
      </w:r>
    </w:p>
    <w:p w14:paraId="287DBDE0" w14:textId="4EBA6408" w:rsidR="00D10D6A" w:rsidRDefault="00E1127D" w:rsidP="009C00F7">
      <w:pPr>
        <w:pStyle w:val="Heading3"/>
        <w:spacing w:after="0"/>
      </w:pPr>
      <w:bookmarkStart w:id="12" w:name="_Toc56603292"/>
      <w:bookmarkStart w:id="13" w:name="_Toc56772227"/>
      <w:bookmarkStart w:id="14" w:name="_Toc150245656"/>
      <w:r w:rsidRPr="00086AB2">
        <w:t>Incidence rates of serious injury and disease claims by jurisdiction</w:t>
      </w:r>
      <w:bookmarkEnd w:id="12"/>
      <w:bookmarkEnd w:id="13"/>
      <w:r w:rsidR="00F8025A">
        <w:t xml:space="preserve"> (previously indicator 1)</w:t>
      </w:r>
      <w:bookmarkEnd w:id="14"/>
    </w:p>
    <w:p w14:paraId="4813193D" w14:textId="51D89A8E" w:rsidR="007E3213" w:rsidRPr="00771625" w:rsidRDefault="00FF67BE" w:rsidP="002556A8">
      <w:r>
        <w:rPr>
          <w:noProof/>
        </w:rPr>
        <w:drawing>
          <wp:inline distT="0" distB="0" distL="0" distR="0" wp14:anchorId="7E0DB13D" wp14:editId="7F629206">
            <wp:extent cx="5593080" cy="2767330"/>
            <wp:effectExtent l="0" t="0" r="7620" b="13970"/>
            <wp:docPr id="1615325254" name="Chart 1">
              <a:extLst xmlns:a="http://schemas.openxmlformats.org/drawingml/2006/main">
                <a:ext uri="{FF2B5EF4-FFF2-40B4-BE49-F238E27FC236}">
                  <a16:creationId xmlns:a16="http://schemas.microsoft.com/office/drawing/2014/main" id="{2F9A49E5-78A7-47A3-9930-1AD9E03C1E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B22545" w14:textId="1D9114BC" w:rsidR="000D785F" w:rsidRDefault="000D785F" w:rsidP="000D785F">
      <w:pPr>
        <w:spacing w:before="120"/>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3D5E950F" w14:textId="5C3FBDF2" w:rsidR="00AA5771" w:rsidRPr="00D05B56" w:rsidRDefault="00AA5771" w:rsidP="000D785F">
      <w:pPr>
        <w:rPr>
          <w:i/>
          <w:iCs/>
          <w:sz w:val="16"/>
          <w:szCs w:val="16"/>
        </w:rPr>
      </w:pPr>
    </w:p>
    <w:p w14:paraId="05BBDDBD" w14:textId="77777777" w:rsidR="00DB4E97" w:rsidRDefault="00DB4E97">
      <w:pPr>
        <w:spacing w:after="200" w:line="276" w:lineRule="auto"/>
        <w:jc w:val="left"/>
        <w:rPr>
          <w:rFonts w:eastAsiaTheme="majorEastAsia" w:cs="Arial"/>
          <w:b/>
          <w:color w:val="AF1E2D"/>
          <w:sz w:val="32"/>
          <w:szCs w:val="22"/>
        </w:rPr>
      </w:pPr>
      <w:r>
        <w:br w:type="page"/>
      </w:r>
    </w:p>
    <w:p w14:paraId="7F58464F" w14:textId="2B66118B" w:rsidR="00C85DF5" w:rsidRPr="00086AB2" w:rsidRDefault="00C85DF5" w:rsidP="0017447F">
      <w:pPr>
        <w:pStyle w:val="SWASectionnum2"/>
        <w:spacing w:before="240"/>
      </w:pPr>
      <w:bookmarkStart w:id="15" w:name="_Toc150245657"/>
      <w:r w:rsidRPr="00086AB2">
        <w:lastRenderedPageBreak/>
        <w:t xml:space="preserve">Frequency </w:t>
      </w:r>
      <w:r w:rsidR="00546938" w:rsidRPr="00086AB2">
        <w:t>r</w:t>
      </w:r>
      <w:r w:rsidRPr="00086AB2">
        <w:t>ate</w:t>
      </w:r>
      <w:bookmarkEnd w:id="15"/>
      <w:r w:rsidR="00C87D5A">
        <w:t xml:space="preserve"> </w:t>
      </w:r>
    </w:p>
    <w:p w14:paraId="5891B3BC" w14:textId="77777777" w:rsidR="00965822" w:rsidRDefault="00FB25BF" w:rsidP="0058228A">
      <w:bookmarkStart w:id="16" w:name="_Toc56603293"/>
      <w:bookmarkStart w:id="17" w:name="_Toc56772228"/>
      <w:r>
        <w:t xml:space="preserve">The frequency rate is expressed as the </w:t>
      </w:r>
      <w:r w:rsidRPr="00FB25BF">
        <w:t>number of serious workers' compensation claims per 1,000 employees</w:t>
      </w:r>
      <w:r>
        <w:t>.</w:t>
      </w:r>
      <w:r w:rsidR="0058228A" w:rsidRPr="0058228A">
        <w:t xml:space="preserve"> </w:t>
      </w:r>
    </w:p>
    <w:p w14:paraId="78AEA7F4" w14:textId="2CA1DC6B" w:rsidR="00FB25BF" w:rsidRPr="00086AB2" w:rsidRDefault="0058228A" w:rsidP="0058228A">
      <w:r>
        <w:t>Compared with an incidence rate, a frequency rate is a more precise and accurate measure of work health and safety because it reflects the number of injuries and diseases per hour worked. It is important to account for the number of hours worked because there are significant differences in the number of hours worked by different groups of employees and employees at different points in time.</w:t>
      </w:r>
    </w:p>
    <w:p w14:paraId="30432FFD" w14:textId="21546DBA" w:rsidR="00D10D6A" w:rsidRDefault="00D10D6A" w:rsidP="009C00F7">
      <w:pPr>
        <w:pStyle w:val="Heading3"/>
        <w:spacing w:before="240" w:after="0"/>
      </w:pPr>
      <w:bookmarkStart w:id="18" w:name="_Toc150245658"/>
      <w:r w:rsidRPr="00086AB2">
        <w:t>Frequency rate of serious injury claims by jurisdiction</w:t>
      </w:r>
      <w:bookmarkEnd w:id="16"/>
      <w:bookmarkEnd w:id="17"/>
      <w:r w:rsidR="00734958">
        <w:t xml:space="preserve"> (previously i</w:t>
      </w:r>
      <w:r w:rsidR="00734958" w:rsidRPr="00086AB2">
        <w:t xml:space="preserve">ndicator </w:t>
      </w:r>
      <w:r w:rsidR="00734958">
        <w:rPr>
          <w:b w:val="0"/>
        </w:rPr>
        <w:fldChar w:fldCharType="begin"/>
      </w:r>
      <w:r w:rsidR="00734958">
        <w:rPr>
          <w:b w:val="0"/>
        </w:rPr>
        <w:instrText xml:space="preserve"> SEQ Indicator \* ARABIC </w:instrText>
      </w:r>
      <w:r w:rsidR="00734958">
        <w:rPr>
          <w:b w:val="0"/>
        </w:rPr>
        <w:fldChar w:fldCharType="separate"/>
      </w:r>
      <w:r w:rsidR="00734958">
        <w:rPr>
          <w:b w:val="0"/>
          <w:noProof/>
        </w:rPr>
        <w:t>2</w:t>
      </w:r>
      <w:r w:rsidR="00734958">
        <w:rPr>
          <w:rFonts w:ascii="Arial" w:eastAsia="Times New Roman" w:hAnsi="Arial" w:cs="Times New Roman"/>
          <w:b w:val="0"/>
          <w:noProof/>
          <w:color w:val="auto"/>
          <w:szCs w:val="24"/>
          <w:lang w:eastAsia="en-AU"/>
        </w:rPr>
        <w:fldChar w:fldCharType="end"/>
      </w:r>
      <w:r w:rsidR="00734958">
        <w:t>)</w:t>
      </w:r>
      <w:bookmarkEnd w:id="18"/>
    </w:p>
    <w:p w14:paraId="62952286" w14:textId="133E460D" w:rsidR="00FF67BE" w:rsidRPr="00FF67BE" w:rsidRDefault="00B51A57" w:rsidP="00FF67BE">
      <w:pPr>
        <w:rPr>
          <w:lang w:eastAsia="en-US"/>
        </w:rPr>
      </w:pPr>
      <w:r>
        <w:rPr>
          <w:noProof/>
        </w:rPr>
        <w:drawing>
          <wp:inline distT="0" distB="0" distL="0" distR="0" wp14:anchorId="0D696985" wp14:editId="4342B06F">
            <wp:extent cx="5607050" cy="2838450"/>
            <wp:effectExtent l="0" t="0" r="12700" b="0"/>
            <wp:docPr id="932530116" name="Chart 1">
              <a:extLst xmlns:a="http://schemas.openxmlformats.org/drawingml/2006/main">
                <a:ext uri="{FF2B5EF4-FFF2-40B4-BE49-F238E27FC236}">
                  <a16:creationId xmlns:a16="http://schemas.microsoft.com/office/drawing/2014/main" id="{9ACC724D-C0B4-4131-B23A-11A2EC671E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E00A13" w14:textId="77777777" w:rsidR="000D785F" w:rsidRDefault="000D785F" w:rsidP="000D785F">
      <w:pPr>
        <w:spacing w:before="120"/>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43F0603E" w14:textId="07656082" w:rsidR="00271700" w:rsidRPr="00086AB2" w:rsidRDefault="00271700" w:rsidP="00ED1DDD"/>
    <w:p w14:paraId="23397DE7" w14:textId="77777777" w:rsidR="00DB4E97" w:rsidRDefault="00DB4E97">
      <w:pPr>
        <w:spacing w:after="200" w:line="276" w:lineRule="auto"/>
        <w:jc w:val="left"/>
        <w:rPr>
          <w:rFonts w:eastAsiaTheme="majorEastAsia" w:cs="Arial"/>
          <w:b/>
          <w:color w:val="AF1E2D"/>
          <w:sz w:val="32"/>
          <w:szCs w:val="22"/>
        </w:rPr>
      </w:pPr>
      <w:r>
        <w:br w:type="page"/>
      </w:r>
    </w:p>
    <w:p w14:paraId="500E1BB2" w14:textId="13363FC7" w:rsidR="00C85DF5" w:rsidRPr="0023228D" w:rsidRDefault="005E07FA" w:rsidP="005E07FA">
      <w:pPr>
        <w:pStyle w:val="SWASectionnum2"/>
        <w:numPr>
          <w:ilvl w:val="0"/>
          <w:numId w:val="0"/>
        </w:numPr>
        <w:rPr>
          <w:color w:val="00B050"/>
          <w:sz w:val="16"/>
          <w:szCs w:val="16"/>
        </w:rPr>
      </w:pPr>
      <w:bookmarkStart w:id="19" w:name="_Toc150245659"/>
      <w:r>
        <w:lastRenderedPageBreak/>
        <w:t xml:space="preserve">1.3 </w:t>
      </w:r>
      <w:r w:rsidR="00C85DF5" w:rsidRPr="00086AB2">
        <w:t>Long term incidence and frequency rates</w:t>
      </w:r>
      <w:bookmarkEnd w:id="19"/>
      <w:r w:rsidR="00020821">
        <w:t xml:space="preserve"> </w:t>
      </w:r>
    </w:p>
    <w:p w14:paraId="091A6E73" w14:textId="3F02387C" w:rsidR="00965822" w:rsidRDefault="00965822" w:rsidP="00965822">
      <w:bookmarkStart w:id="20" w:name="_Toc56603294"/>
      <w:bookmarkStart w:id="21" w:name="_Toc56772229"/>
      <w:r w:rsidRPr="00965822">
        <w:t>Serious claims have been classed as long term if the claimant receives compensation for 12 or more weeks.</w:t>
      </w:r>
    </w:p>
    <w:p w14:paraId="49ADAA4A" w14:textId="25E7B492" w:rsidR="005820B5" w:rsidRDefault="005820B5" w:rsidP="0031228B">
      <w:pPr>
        <w:pStyle w:val="Heading3"/>
      </w:pPr>
      <w:bookmarkStart w:id="22" w:name="_Toc150245660"/>
      <w:r w:rsidRPr="00086AB2">
        <w:t>Incidence rates of long term (12 weeks or more compensation) injury and disease claims by jurisdiction</w:t>
      </w:r>
      <w:bookmarkEnd w:id="20"/>
      <w:bookmarkEnd w:id="21"/>
      <w:r w:rsidR="0023228D">
        <w:t xml:space="preserve"> </w:t>
      </w:r>
      <w:r w:rsidR="00734958">
        <w:t>(previously i</w:t>
      </w:r>
      <w:r w:rsidR="00734958" w:rsidRPr="00086AB2">
        <w:t xml:space="preserve">ndicator </w:t>
      </w:r>
      <w:fldSimple w:instr=" SEQ Indicator \* ARABIC ">
        <w:r w:rsidR="00734958">
          <w:rPr>
            <w:noProof/>
          </w:rPr>
          <w:t>3</w:t>
        </w:r>
      </w:fldSimple>
      <w:r w:rsidR="00734958">
        <w:t>)</w:t>
      </w:r>
      <w:bookmarkEnd w:id="22"/>
    </w:p>
    <w:p w14:paraId="22F646A5" w14:textId="5E27770B" w:rsidR="00FF67BE" w:rsidRDefault="00B51A57" w:rsidP="00FF67BE">
      <w:pPr>
        <w:rPr>
          <w:lang w:eastAsia="en-US"/>
        </w:rPr>
      </w:pPr>
      <w:r>
        <w:rPr>
          <w:noProof/>
        </w:rPr>
        <mc:AlternateContent>
          <mc:Choice Requires="wps">
            <w:drawing>
              <wp:anchor distT="0" distB="0" distL="114300" distR="114300" simplePos="0" relativeHeight="251731968" behindDoc="0" locked="0" layoutInCell="1" allowOverlap="1" wp14:anchorId="2622D6B1" wp14:editId="08D83F66">
                <wp:simplePos x="0" y="0"/>
                <wp:positionH relativeFrom="column">
                  <wp:posOffset>1147912</wp:posOffset>
                </wp:positionH>
                <wp:positionV relativeFrom="paragraph">
                  <wp:posOffset>3217845</wp:posOffset>
                </wp:positionV>
                <wp:extent cx="4316730" cy="120770"/>
                <wp:effectExtent l="0" t="0" r="7620" b="0"/>
                <wp:wrapNone/>
                <wp:docPr id="212832577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6730" cy="120770"/>
                        </a:xfrm>
                        <a:prstGeom prst="rect">
                          <a:avLst/>
                        </a:prstGeom>
                        <a:solidFill>
                          <a:srgbClr val="FFFFFF"/>
                        </a:solidFill>
                        <a:ln w="9525">
                          <a:no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03F1B110" id="Rectangle 1" o:spid="_x0000_s1026" style="position:absolute;margin-left:90.4pt;margin-top:253.35pt;width:339.9pt;height:9.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0twwEAAGIDAAAOAAAAZHJzL2Uyb0RvYy54bWysU01vGyEQvVfqf0Dc6911mjhdeR1VSd1L&#10;2kRK2zvmw4sKDBqI1/73HbDrRO2tKgfEAPN4782wvNl7x3Yak4Uw8G7WcqaDBGXDduDfv63fXXOW&#10;sghKOAh64Aed+M3q7ZvlFHs9hxGc0sgIJKR+igMfc4590yQ5ai/SDKIOdGgAvcgU4rZRKCZC966Z&#10;t+1VMwGqiCB1SrR7dzzkq4pvjJb5wZikM3MDJ265zljnTZmb1VL0WxRxtPJEQ/wDCy9soEfPUHci&#10;C/aM9i8obyVCApNnEnwDxlipqwZS07V/qHkaRdRVC5mT4tmm9P9g5dfdU3zEQj3Fe5A/EwtwO4qw&#10;1R8RYRq1UPRcV4xqppj6c0IJEqWyzfQFFJVWPGeoHuwNemacjT9KYoEmnWxfTT+cTdf7zCRtvr/o&#10;rhYXVBtJZ928XSxqVRrRF5ySHTHlzxo8K4uBIxW1oordfcqF18uVqgOcVWvrXA1wu7l1yHaCGmBd&#10;R5VCcl9fc4FNA/9wOb+syAFKfu0NbzM1qLN+4NdtGceWKb58CqpeycK645qYuHAyqnhT2jD1G1CH&#10;R/xtIBWyUj41XemU13HNfvkaq18AAAD//wMAUEsDBBQABgAIAAAAIQBLYYcl4QAAAAsBAAAPAAAA&#10;ZHJzL2Rvd25yZXYueG1sTI/BTsMwEETvSPyDtUhcELWp2jRK41QIiUM5lVIJ9ebG2yQkXkex24S/&#10;ZznBcXZGM2/zzeQ6ccUhNJ40PM0UCKTS24YqDYeP18cURIiGrOk8oYZvDLApbm9yk1k/0jte97ES&#10;XEIhMxrqGPtMylDW6EyY+R6JvbMfnIksh0rawYxc7jo5VyqRzjTEC7Xp8aXGst1fnIbxYXtcfC5w&#10;5w+7saU3dbTt11br+7vpeQ0i4hT/wvCLz+hQMNPJX8gG0bFOFaNHDUuVrEBwIk1UAuLEl/lyBbLI&#10;5f8fih8AAAD//wMAUEsBAi0AFAAGAAgAAAAhALaDOJL+AAAA4QEAABMAAAAAAAAAAAAAAAAAAAAA&#10;AFtDb250ZW50X1R5cGVzXS54bWxQSwECLQAUAAYACAAAACEAOP0h/9YAAACUAQAACwAAAAAAAAAA&#10;AAAAAAAvAQAAX3JlbHMvLnJlbHNQSwECLQAUAAYACAAAACEARIWNLcMBAABiAwAADgAAAAAAAAAA&#10;AAAAAAAuAgAAZHJzL2Uyb0RvYy54bWxQSwECLQAUAAYACAAAACEAS2GHJeEAAAALAQAADwAAAAAA&#10;AAAAAAAAAAAdBAAAZHJzL2Rvd25yZXYueG1sUEsFBgAAAAAEAAQA8wAAACsFAAAAAA==&#10;" stroked="f"/>
            </w:pict>
          </mc:Fallback>
        </mc:AlternateContent>
      </w:r>
      <w:r>
        <w:rPr>
          <w:noProof/>
        </w:rPr>
        <w:drawing>
          <wp:inline distT="0" distB="0" distL="0" distR="0" wp14:anchorId="730E071E" wp14:editId="19620A51">
            <wp:extent cx="5607050" cy="3383915"/>
            <wp:effectExtent l="0" t="0" r="0" b="6985"/>
            <wp:docPr id="1144394012" name="Chart 1">
              <a:extLst xmlns:a="http://schemas.openxmlformats.org/drawingml/2006/main">
                <a:ext uri="{FF2B5EF4-FFF2-40B4-BE49-F238E27FC236}">
                  <a16:creationId xmlns:a16="http://schemas.microsoft.com/office/drawing/2014/main" id="{0924675A-7D5A-4D46-A5CD-8B94F89FB8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004069" w14:textId="7ED8CC6D" w:rsidR="000D785F" w:rsidRPr="00FF67BE" w:rsidRDefault="000D785F" w:rsidP="00B51A57">
      <w:pPr>
        <w:spacing w:before="120"/>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7556C68A" w14:textId="011A716C" w:rsidR="005820B5" w:rsidRDefault="005820B5" w:rsidP="0031228B">
      <w:pPr>
        <w:pStyle w:val="Heading3"/>
      </w:pPr>
      <w:bookmarkStart w:id="23" w:name="_Toc56603295"/>
      <w:bookmarkStart w:id="24" w:name="_Toc56772230"/>
      <w:bookmarkStart w:id="25" w:name="_Toc150245661"/>
      <w:r w:rsidRPr="00086AB2">
        <w:t>Frequency rate of long term (12 weeks or more compensation) injury and disease claims by jurisdiction</w:t>
      </w:r>
      <w:bookmarkEnd w:id="23"/>
      <w:bookmarkEnd w:id="24"/>
      <w:r w:rsidR="004E616F">
        <w:t xml:space="preserve"> (previously i</w:t>
      </w:r>
      <w:r w:rsidR="004E616F" w:rsidRPr="00086AB2">
        <w:t xml:space="preserve">ndicator </w:t>
      </w:r>
      <w:fldSimple w:instr=" SEQ Indicator \* ARABIC ">
        <w:r w:rsidR="004E616F">
          <w:rPr>
            <w:noProof/>
          </w:rPr>
          <w:t>4</w:t>
        </w:r>
      </w:fldSimple>
      <w:r w:rsidR="004E616F">
        <w:t>)</w:t>
      </w:r>
      <w:bookmarkEnd w:id="25"/>
      <w:r w:rsidR="00711D93">
        <w:t xml:space="preserve"> </w:t>
      </w:r>
    </w:p>
    <w:p w14:paraId="01F12F8D" w14:textId="43E2A77A" w:rsidR="00FF67BE" w:rsidRDefault="00FF67BE" w:rsidP="00FF67BE">
      <w:pPr>
        <w:rPr>
          <w:lang w:eastAsia="en-US"/>
        </w:rPr>
      </w:pPr>
      <w:r>
        <w:rPr>
          <w:noProof/>
        </w:rPr>
        <w:drawing>
          <wp:inline distT="0" distB="0" distL="0" distR="0" wp14:anchorId="693FDF11" wp14:editId="1120B9C5">
            <wp:extent cx="5642610" cy="3128010"/>
            <wp:effectExtent l="0" t="0" r="0" b="0"/>
            <wp:docPr id="818077373" name="Chart 1">
              <a:extLst xmlns:a="http://schemas.openxmlformats.org/drawingml/2006/main">
                <a:ext uri="{FF2B5EF4-FFF2-40B4-BE49-F238E27FC236}">
                  <a16:creationId xmlns:a16="http://schemas.microsoft.com/office/drawing/2014/main" id="{81C60572-BE14-48FD-B05A-B4DC05C19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9247D4" w14:textId="37E014F9" w:rsidR="00C7463D" w:rsidRPr="00C7463D" w:rsidRDefault="000D785F" w:rsidP="00B51A57">
      <w:pPr>
        <w:spacing w:before="120"/>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290F61D0" w14:textId="77777777" w:rsidR="004E616F" w:rsidRDefault="004E616F" w:rsidP="00CA4F45">
      <w:pPr>
        <w:pStyle w:val="SWASectionnum2"/>
        <w:numPr>
          <w:ilvl w:val="0"/>
          <w:numId w:val="0"/>
        </w:numPr>
        <w:sectPr w:rsidR="004E616F" w:rsidSect="00B02854">
          <w:headerReference w:type="default" r:id="rId24"/>
          <w:type w:val="continuous"/>
          <w:pgSz w:w="11906" w:h="16838"/>
          <w:pgMar w:top="1440" w:right="1800" w:bottom="1440" w:left="1276" w:header="708" w:footer="708" w:gutter="0"/>
          <w:cols w:space="242"/>
          <w:docGrid w:linePitch="360"/>
        </w:sectPr>
      </w:pPr>
    </w:p>
    <w:p w14:paraId="5DC7AB9C" w14:textId="0DB76DB2" w:rsidR="004014F4" w:rsidRDefault="00CA4F45" w:rsidP="00CA4F45">
      <w:pPr>
        <w:pStyle w:val="SWASectionnum2"/>
        <w:numPr>
          <w:ilvl w:val="0"/>
          <w:numId w:val="0"/>
        </w:numPr>
      </w:pPr>
      <w:bookmarkStart w:id="26" w:name="_Toc150245662"/>
      <w:r>
        <w:lastRenderedPageBreak/>
        <w:t xml:space="preserve">1.4 </w:t>
      </w:r>
      <w:r w:rsidR="004014F4" w:rsidRPr="00086AB2">
        <w:t>Self-insured serious claims</w:t>
      </w:r>
      <w:bookmarkEnd w:id="26"/>
      <w:r w:rsidR="00020821">
        <w:t xml:space="preserve"> </w:t>
      </w:r>
    </w:p>
    <w:p w14:paraId="418E783D" w14:textId="67393D8F" w:rsidR="0069576C" w:rsidRPr="00086AB2" w:rsidRDefault="0069576C" w:rsidP="0069576C">
      <w:r w:rsidRPr="0069576C">
        <w:t>Self-insurers are employers who are allowed to manage and pay for their employees’ claims for work-related injuries and disease, rather than paying premiums to insurers to take on these responsibilities. This measures the number of self-insured serious claims accepted by workers' compensation schemes.</w:t>
      </w:r>
    </w:p>
    <w:p w14:paraId="48369F18" w14:textId="0A97CDF1" w:rsidR="000A3553" w:rsidRDefault="000A3553" w:rsidP="0031228B">
      <w:pPr>
        <w:pStyle w:val="Heading3"/>
      </w:pPr>
      <w:bookmarkStart w:id="27" w:name="_Toc56772231"/>
      <w:bookmarkStart w:id="28" w:name="_Toc150245663"/>
      <w:r w:rsidRPr="00086AB2">
        <w:t>Self-insured claims: number of serious claims by jurisdiction</w:t>
      </w:r>
      <w:bookmarkEnd w:id="27"/>
      <w:r>
        <w:t xml:space="preserve"> </w:t>
      </w:r>
      <w:r w:rsidR="0069576C">
        <w:t>(previously i</w:t>
      </w:r>
      <w:r w:rsidR="0069576C" w:rsidRPr="00086AB2">
        <w:t xml:space="preserve">ndicator </w:t>
      </w:r>
      <w:fldSimple w:instr=" SEQ Indicator \* ARABIC ">
        <w:r w:rsidR="0069576C">
          <w:rPr>
            <w:noProof/>
          </w:rPr>
          <w:t>5</w:t>
        </w:r>
      </w:fldSimple>
      <w:r w:rsidR="0069576C" w:rsidRPr="00086AB2">
        <w:rPr>
          <w:noProof/>
        </w:rPr>
        <w:t>a</w:t>
      </w:r>
      <w:r w:rsidR="0069576C">
        <w:rPr>
          <w:noProof/>
        </w:rPr>
        <w:t>)</w:t>
      </w:r>
      <w:bookmarkEnd w:id="28"/>
    </w:p>
    <w:tbl>
      <w:tblPr>
        <w:tblW w:w="12441" w:type="dxa"/>
        <w:tblInd w:w="-5" w:type="dxa"/>
        <w:tblLook w:val="04A0" w:firstRow="1" w:lastRow="0" w:firstColumn="1" w:lastColumn="0" w:noHBand="0" w:noVBand="1"/>
      </w:tblPr>
      <w:tblGrid>
        <w:gridCol w:w="1165"/>
        <w:gridCol w:w="1124"/>
        <w:gridCol w:w="1124"/>
        <w:gridCol w:w="1124"/>
        <w:gridCol w:w="1124"/>
        <w:gridCol w:w="1161"/>
        <w:gridCol w:w="1161"/>
        <w:gridCol w:w="1010"/>
        <w:gridCol w:w="1064"/>
        <w:gridCol w:w="1124"/>
        <w:gridCol w:w="1260"/>
      </w:tblGrid>
      <w:tr w:rsidR="00594383" w:rsidRPr="000B372D" w14:paraId="6329629B" w14:textId="77777777" w:rsidTr="00594383">
        <w:trPr>
          <w:trHeight w:val="525"/>
        </w:trPr>
        <w:tc>
          <w:tcPr>
            <w:tcW w:w="1165" w:type="dxa"/>
            <w:tcBorders>
              <w:top w:val="single" w:sz="4" w:space="0" w:color="auto"/>
              <w:left w:val="single" w:sz="4" w:space="0" w:color="auto"/>
              <w:bottom w:val="single" w:sz="4" w:space="0" w:color="DA9694"/>
              <w:right w:val="nil"/>
            </w:tcBorders>
            <w:shd w:val="clear" w:color="000000" w:fill="AF1E2D"/>
            <w:vAlign w:val="center"/>
            <w:hideMark/>
          </w:tcPr>
          <w:p w14:paraId="56FCB9B7" w14:textId="77777777" w:rsidR="00E45427" w:rsidRPr="000B372D" w:rsidRDefault="00E45427" w:rsidP="000B372D">
            <w:pPr>
              <w:spacing w:after="0"/>
              <w:jc w:val="center"/>
              <w:rPr>
                <w:rFonts w:cs="Arial"/>
                <w:b/>
                <w:bCs/>
                <w:color w:val="FFFFFF"/>
                <w:sz w:val="18"/>
                <w:szCs w:val="18"/>
              </w:rPr>
            </w:pPr>
            <w:r w:rsidRPr="000B372D">
              <w:rPr>
                <w:rFonts w:cs="Arial"/>
                <w:b/>
                <w:bCs/>
                <w:color w:val="FFFFFF"/>
                <w:sz w:val="18"/>
                <w:szCs w:val="18"/>
              </w:rPr>
              <w:t>Year</w:t>
            </w:r>
          </w:p>
        </w:tc>
        <w:tc>
          <w:tcPr>
            <w:tcW w:w="1124" w:type="dxa"/>
            <w:tcBorders>
              <w:top w:val="single" w:sz="4" w:space="0" w:color="auto"/>
              <w:left w:val="nil"/>
              <w:bottom w:val="single" w:sz="4" w:space="0" w:color="DA9694"/>
              <w:right w:val="single" w:sz="4" w:space="0" w:color="FFFFFF" w:themeColor="background1"/>
            </w:tcBorders>
            <w:shd w:val="clear" w:color="000000" w:fill="AF1E2D"/>
            <w:vAlign w:val="center"/>
            <w:hideMark/>
          </w:tcPr>
          <w:p w14:paraId="386D7D7E" w14:textId="77777777" w:rsidR="00E45427" w:rsidRPr="000B372D" w:rsidRDefault="00E45427" w:rsidP="000B372D">
            <w:pPr>
              <w:spacing w:after="0"/>
              <w:jc w:val="center"/>
              <w:rPr>
                <w:rFonts w:cs="Arial"/>
                <w:b/>
                <w:bCs/>
                <w:color w:val="FFFFFF"/>
                <w:sz w:val="18"/>
                <w:szCs w:val="18"/>
              </w:rPr>
            </w:pPr>
            <w:r w:rsidRPr="000B372D">
              <w:rPr>
                <w:rFonts w:cs="Arial"/>
                <w:b/>
                <w:bCs/>
                <w:color w:val="FFFFFF"/>
                <w:sz w:val="18"/>
                <w:szCs w:val="18"/>
              </w:rPr>
              <w:t>NSW</w:t>
            </w:r>
          </w:p>
        </w:tc>
        <w:tc>
          <w:tcPr>
            <w:tcW w:w="1124"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5B7426B6" w14:textId="77777777" w:rsidR="00E45427" w:rsidRPr="000B372D" w:rsidRDefault="00E45427" w:rsidP="000B372D">
            <w:pPr>
              <w:spacing w:after="0"/>
              <w:jc w:val="center"/>
              <w:rPr>
                <w:rFonts w:cs="Arial"/>
                <w:b/>
                <w:bCs/>
                <w:color w:val="FFFFFF"/>
                <w:sz w:val="18"/>
                <w:szCs w:val="18"/>
              </w:rPr>
            </w:pPr>
            <w:r w:rsidRPr="000B372D">
              <w:rPr>
                <w:rFonts w:cs="Arial"/>
                <w:b/>
                <w:bCs/>
                <w:color w:val="FFFFFF"/>
                <w:sz w:val="18"/>
                <w:szCs w:val="18"/>
              </w:rPr>
              <w:t>VIC</w:t>
            </w:r>
          </w:p>
        </w:tc>
        <w:tc>
          <w:tcPr>
            <w:tcW w:w="1124"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11FDE917" w14:textId="77777777" w:rsidR="00E45427" w:rsidRPr="000B372D" w:rsidRDefault="00E45427" w:rsidP="000B372D">
            <w:pPr>
              <w:spacing w:after="0"/>
              <w:jc w:val="center"/>
              <w:rPr>
                <w:rFonts w:cs="Arial"/>
                <w:b/>
                <w:bCs/>
                <w:color w:val="FFFFFF"/>
                <w:sz w:val="18"/>
                <w:szCs w:val="18"/>
              </w:rPr>
            </w:pPr>
            <w:r w:rsidRPr="000B372D">
              <w:rPr>
                <w:rFonts w:cs="Arial"/>
                <w:b/>
                <w:bCs/>
                <w:color w:val="FFFFFF"/>
                <w:sz w:val="18"/>
                <w:szCs w:val="18"/>
              </w:rPr>
              <w:t>QLD</w:t>
            </w:r>
          </w:p>
        </w:tc>
        <w:tc>
          <w:tcPr>
            <w:tcW w:w="1124"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54E3CA15" w14:textId="77777777" w:rsidR="00E45427" w:rsidRPr="000B372D" w:rsidRDefault="00E45427" w:rsidP="000B372D">
            <w:pPr>
              <w:spacing w:after="0"/>
              <w:jc w:val="center"/>
              <w:rPr>
                <w:rFonts w:cs="Arial"/>
                <w:b/>
                <w:bCs/>
                <w:color w:val="FFFFFF"/>
                <w:sz w:val="18"/>
                <w:szCs w:val="18"/>
              </w:rPr>
            </w:pPr>
            <w:r w:rsidRPr="000B372D">
              <w:rPr>
                <w:rFonts w:cs="Arial"/>
                <w:b/>
                <w:bCs/>
                <w:color w:val="FFFFFF"/>
                <w:sz w:val="18"/>
                <w:szCs w:val="18"/>
              </w:rPr>
              <w:t>SA</w:t>
            </w:r>
          </w:p>
        </w:tc>
        <w:tc>
          <w:tcPr>
            <w:tcW w:w="1161"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41CC6058" w14:textId="77777777" w:rsidR="00E45427" w:rsidRPr="000B372D" w:rsidRDefault="00E45427" w:rsidP="000B372D">
            <w:pPr>
              <w:spacing w:after="0"/>
              <w:jc w:val="center"/>
              <w:rPr>
                <w:rFonts w:cs="Arial"/>
                <w:b/>
                <w:bCs/>
                <w:color w:val="FFFFFF"/>
                <w:sz w:val="18"/>
                <w:szCs w:val="18"/>
              </w:rPr>
            </w:pPr>
            <w:r w:rsidRPr="000B372D">
              <w:rPr>
                <w:rFonts w:cs="Arial"/>
                <w:b/>
                <w:bCs/>
                <w:color w:val="FFFFFF"/>
                <w:sz w:val="18"/>
                <w:szCs w:val="18"/>
              </w:rPr>
              <w:t>WA</w:t>
            </w:r>
          </w:p>
        </w:tc>
        <w:tc>
          <w:tcPr>
            <w:tcW w:w="1161"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5898EC34" w14:textId="337C4DA2" w:rsidR="00E45427" w:rsidRPr="0069576C" w:rsidRDefault="00E45427" w:rsidP="000B372D">
            <w:pPr>
              <w:spacing w:after="0"/>
              <w:jc w:val="center"/>
              <w:rPr>
                <w:rFonts w:cs="Arial"/>
                <w:b/>
                <w:bCs/>
                <w:color w:val="FFFFFF"/>
                <w:sz w:val="18"/>
                <w:szCs w:val="18"/>
                <w:vertAlign w:val="superscript"/>
              </w:rPr>
            </w:pPr>
            <w:r w:rsidRPr="000B372D">
              <w:rPr>
                <w:rFonts w:cs="Arial"/>
                <w:b/>
                <w:bCs/>
                <w:color w:val="FFFFFF"/>
                <w:sz w:val="18"/>
                <w:szCs w:val="18"/>
              </w:rPr>
              <w:t>TAS</w:t>
            </w:r>
            <w:r>
              <w:rPr>
                <w:rFonts w:cs="Arial"/>
                <w:b/>
                <w:bCs/>
                <w:color w:val="FFFFFF"/>
                <w:sz w:val="18"/>
                <w:szCs w:val="18"/>
              </w:rPr>
              <w:t xml:space="preserve"> </w:t>
            </w:r>
            <w:r w:rsidRPr="0069576C">
              <w:rPr>
                <w:rFonts w:cs="Arial"/>
                <w:b/>
                <w:bCs/>
                <w:color w:val="FFFFFF"/>
                <w:sz w:val="18"/>
                <w:szCs w:val="18"/>
                <w:vertAlign w:val="superscript"/>
              </w:rPr>
              <w:t>(a)</w:t>
            </w:r>
          </w:p>
        </w:tc>
        <w:tc>
          <w:tcPr>
            <w:tcW w:w="1010"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7DAA77BB" w14:textId="77777777" w:rsidR="00E45427" w:rsidRPr="000B372D" w:rsidRDefault="00E45427" w:rsidP="000B372D">
            <w:pPr>
              <w:spacing w:after="0"/>
              <w:jc w:val="center"/>
              <w:rPr>
                <w:rFonts w:cs="Arial"/>
                <w:b/>
                <w:bCs/>
                <w:color w:val="FFFFFF"/>
                <w:sz w:val="18"/>
                <w:szCs w:val="18"/>
              </w:rPr>
            </w:pPr>
            <w:r w:rsidRPr="000B372D">
              <w:rPr>
                <w:rFonts w:cs="Arial"/>
                <w:b/>
                <w:bCs/>
                <w:color w:val="FFFFFF"/>
                <w:sz w:val="18"/>
                <w:szCs w:val="18"/>
              </w:rPr>
              <w:t>NT</w:t>
            </w:r>
          </w:p>
        </w:tc>
        <w:tc>
          <w:tcPr>
            <w:tcW w:w="1064"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0FC02FE8" w14:textId="08A899FC" w:rsidR="00E45427" w:rsidRPr="0069576C" w:rsidRDefault="00E45427" w:rsidP="000B372D">
            <w:pPr>
              <w:spacing w:after="0"/>
              <w:jc w:val="center"/>
              <w:rPr>
                <w:rFonts w:cs="Arial"/>
                <w:b/>
                <w:bCs/>
                <w:color w:val="FFFFFF"/>
                <w:sz w:val="18"/>
                <w:szCs w:val="18"/>
                <w:vertAlign w:val="superscript"/>
              </w:rPr>
            </w:pPr>
            <w:r w:rsidRPr="000B372D">
              <w:rPr>
                <w:rFonts w:cs="Arial"/>
                <w:b/>
                <w:bCs/>
                <w:color w:val="FFFFFF"/>
                <w:sz w:val="18"/>
                <w:szCs w:val="18"/>
              </w:rPr>
              <w:t>ACT</w:t>
            </w:r>
            <w:r>
              <w:rPr>
                <w:rFonts w:cs="Arial"/>
                <w:b/>
                <w:bCs/>
                <w:color w:val="FFFFFF"/>
                <w:sz w:val="18"/>
                <w:szCs w:val="18"/>
                <w:vertAlign w:val="superscript"/>
              </w:rPr>
              <w:t xml:space="preserve"> (b)</w:t>
            </w:r>
          </w:p>
        </w:tc>
        <w:tc>
          <w:tcPr>
            <w:tcW w:w="1124"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5AFA8B35" w14:textId="77777777" w:rsidR="00E45427" w:rsidRPr="000B372D" w:rsidRDefault="00E45427" w:rsidP="000B372D">
            <w:pPr>
              <w:spacing w:after="0"/>
              <w:jc w:val="center"/>
              <w:rPr>
                <w:rFonts w:cs="Arial"/>
                <w:b/>
                <w:bCs/>
                <w:color w:val="FFFFFF"/>
                <w:sz w:val="18"/>
                <w:szCs w:val="18"/>
              </w:rPr>
            </w:pPr>
            <w:r w:rsidRPr="000B372D">
              <w:rPr>
                <w:rFonts w:cs="Arial"/>
                <w:b/>
                <w:bCs/>
                <w:color w:val="FFFFFF"/>
                <w:sz w:val="18"/>
                <w:szCs w:val="18"/>
              </w:rPr>
              <w:t>Aus Gov</w:t>
            </w:r>
          </w:p>
        </w:tc>
        <w:tc>
          <w:tcPr>
            <w:tcW w:w="1260" w:type="dxa"/>
            <w:tcBorders>
              <w:top w:val="single" w:sz="4" w:space="0" w:color="auto"/>
              <w:left w:val="nil"/>
              <w:bottom w:val="single" w:sz="4" w:space="0" w:color="DA9694"/>
              <w:right w:val="single" w:sz="4" w:space="0" w:color="auto"/>
            </w:tcBorders>
            <w:shd w:val="clear" w:color="000000" w:fill="808080"/>
            <w:vAlign w:val="center"/>
            <w:hideMark/>
          </w:tcPr>
          <w:p w14:paraId="2361348A" w14:textId="31158EF1" w:rsidR="00E45427" w:rsidRPr="000B372D" w:rsidRDefault="00E45427" w:rsidP="000B372D">
            <w:pPr>
              <w:spacing w:after="0"/>
              <w:jc w:val="center"/>
              <w:rPr>
                <w:rFonts w:cs="Arial"/>
                <w:b/>
                <w:bCs/>
                <w:color w:val="FFFFFF"/>
                <w:sz w:val="18"/>
                <w:szCs w:val="18"/>
              </w:rPr>
            </w:pPr>
            <w:r>
              <w:rPr>
                <w:rFonts w:cs="Arial"/>
                <w:b/>
                <w:bCs/>
                <w:color w:val="FFFFFF"/>
                <w:sz w:val="18"/>
                <w:szCs w:val="18"/>
              </w:rPr>
              <w:t>Australian</w:t>
            </w:r>
            <w:r w:rsidRPr="000B372D">
              <w:rPr>
                <w:rFonts w:cs="Arial"/>
                <w:b/>
                <w:bCs/>
                <w:color w:val="FFFFFF"/>
                <w:sz w:val="18"/>
                <w:szCs w:val="18"/>
              </w:rPr>
              <w:t xml:space="preserve"> Total</w:t>
            </w:r>
            <w:r>
              <w:rPr>
                <w:rFonts w:cs="Arial"/>
                <w:b/>
                <w:bCs/>
                <w:color w:val="FFFFFF"/>
                <w:sz w:val="18"/>
                <w:szCs w:val="18"/>
              </w:rPr>
              <w:t xml:space="preserve"> </w:t>
            </w:r>
            <w:r w:rsidRPr="0069576C">
              <w:rPr>
                <w:rFonts w:cs="Arial"/>
                <w:b/>
                <w:bCs/>
                <w:color w:val="FFFFFF"/>
                <w:sz w:val="18"/>
                <w:szCs w:val="18"/>
                <w:vertAlign w:val="superscript"/>
              </w:rPr>
              <w:t>(c)</w:t>
            </w:r>
          </w:p>
        </w:tc>
      </w:tr>
      <w:tr w:rsidR="00594383" w:rsidRPr="000B372D" w14:paraId="3F708F62" w14:textId="77777777" w:rsidTr="00594383">
        <w:trPr>
          <w:trHeight w:val="306"/>
        </w:trPr>
        <w:tc>
          <w:tcPr>
            <w:tcW w:w="1165" w:type="dxa"/>
            <w:tcBorders>
              <w:top w:val="single" w:sz="4" w:space="0" w:color="FFFFFF"/>
              <w:left w:val="single" w:sz="4" w:space="0" w:color="auto"/>
              <w:bottom w:val="single" w:sz="4" w:space="0" w:color="FFFFFF"/>
              <w:right w:val="single" w:sz="4" w:space="0" w:color="FFFFFF"/>
            </w:tcBorders>
            <w:shd w:val="clear" w:color="000000" w:fill="EFD3D2"/>
            <w:noWrap/>
            <w:vAlign w:val="center"/>
            <w:hideMark/>
          </w:tcPr>
          <w:p w14:paraId="45B8B14B" w14:textId="77777777" w:rsidR="00E45427" w:rsidRPr="000B372D" w:rsidRDefault="00E45427" w:rsidP="00E45427">
            <w:pPr>
              <w:spacing w:after="0"/>
              <w:jc w:val="left"/>
              <w:rPr>
                <w:rFonts w:cs="Arial"/>
                <w:b/>
                <w:bCs/>
                <w:color w:val="000000"/>
                <w:sz w:val="18"/>
                <w:szCs w:val="18"/>
              </w:rPr>
            </w:pPr>
            <w:r w:rsidRPr="000B372D">
              <w:rPr>
                <w:rFonts w:cs="Arial"/>
                <w:b/>
                <w:bCs/>
                <w:color w:val="000000"/>
                <w:sz w:val="18"/>
                <w:szCs w:val="18"/>
              </w:rPr>
              <w:t>2016-17</w:t>
            </w:r>
          </w:p>
        </w:tc>
        <w:tc>
          <w:tcPr>
            <w:tcW w:w="1124" w:type="dxa"/>
            <w:tcBorders>
              <w:top w:val="nil"/>
              <w:left w:val="nil"/>
              <w:bottom w:val="nil"/>
              <w:right w:val="single" w:sz="4" w:space="0" w:color="FFFFFF" w:themeColor="background1"/>
            </w:tcBorders>
            <w:shd w:val="clear" w:color="000000" w:fill="EFD3D2"/>
            <w:vAlign w:val="center"/>
            <w:hideMark/>
          </w:tcPr>
          <w:p w14:paraId="5976740B"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2,171</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304EB61E"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1,302</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56AD7ADC"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1,688</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584F1B38"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2,300</w:t>
            </w:r>
          </w:p>
        </w:tc>
        <w:tc>
          <w:tcPr>
            <w:tcW w:w="1161"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6DD41041"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927</w:t>
            </w:r>
          </w:p>
        </w:tc>
        <w:tc>
          <w:tcPr>
            <w:tcW w:w="1161"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7B807071"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634</w:t>
            </w:r>
          </w:p>
        </w:tc>
        <w:tc>
          <w:tcPr>
            <w:tcW w:w="101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09668F5F"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214</w:t>
            </w:r>
          </w:p>
        </w:tc>
        <w:tc>
          <w:tcPr>
            <w:tcW w:w="106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3E96EDC7"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358</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3F2CC2F6"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1,162</w:t>
            </w:r>
          </w:p>
        </w:tc>
        <w:tc>
          <w:tcPr>
            <w:tcW w:w="1260" w:type="dxa"/>
            <w:tcBorders>
              <w:top w:val="nil"/>
              <w:left w:val="nil"/>
              <w:right w:val="single" w:sz="4" w:space="0" w:color="auto"/>
            </w:tcBorders>
            <w:shd w:val="clear" w:color="auto" w:fill="808080" w:themeFill="background1" w:themeFillShade="80"/>
            <w:hideMark/>
          </w:tcPr>
          <w:p w14:paraId="3DE96FBE" w14:textId="04E8653A" w:rsidR="00E45427" w:rsidRPr="003B679E" w:rsidRDefault="00E45427" w:rsidP="00E45427">
            <w:pPr>
              <w:spacing w:after="0"/>
              <w:jc w:val="center"/>
              <w:rPr>
                <w:rFonts w:cs="Arial"/>
                <w:color w:val="FFFFFF"/>
                <w:sz w:val="18"/>
                <w:szCs w:val="18"/>
              </w:rPr>
            </w:pPr>
            <w:r w:rsidRPr="003B679E">
              <w:rPr>
                <w:rFonts w:cs="Arial"/>
                <w:color w:val="FFFFFF"/>
                <w:sz w:val="18"/>
                <w:szCs w:val="18"/>
              </w:rPr>
              <w:t>10,756</w:t>
            </w:r>
          </w:p>
        </w:tc>
      </w:tr>
      <w:tr w:rsidR="00594383" w:rsidRPr="000B372D" w14:paraId="37855384" w14:textId="77777777" w:rsidTr="00594383">
        <w:trPr>
          <w:trHeight w:val="306"/>
        </w:trPr>
        <w:tc>
          <w:tcPr>
            <w:tcW w:w="1165" w:type="dxa"/>
            <w:tcBorders>
              <w:top w:val="nil"/>
              <w:left w:val="single" w:sz="4" w:space="0" w:color="auto"/>
              <w:bottom w:val="nil"/>
              <w:right w:val="nil"/>
            </w:tcBorders>
            <w:shd w:val="clear" w:color="000000" w:fill="FFFFFF"/>
            <w:vAlign w:val="center"/>
            <w:hideMark/>
          </w:tcPr>
          <w:p w14:paraId="5C3987C1" w14:textId="77777777" w:rsidR="00E45427" w:rsidRPr="000B372D" w:rsidRDefault="00E45427" w:rsidP="00E45427">
            <w:pPr>
              <w:spacing w:after="0"/>
              <w:jc w:val="left"/>
              <w:rPr>
                <w:rFonts w:cs="Arial"/>
                <w:b/>
                <w:bCs/>
                <w:color w:val="000000"/>
                <w:sz w:val="18"/>
                <w:szCs w:val="18"/>
              </w:rPr>
            </w:pPr>
            <w:r w:rsidRPr="000B372D">
              <w:rPr>
                <w:rFonts w:cs="Arial"/>
                <w:b/>
                <w:bCs/>
                <w:color w:val="000000"/>
                <w:sz w:val="18"/>
                <w:szCs w:val="18"/>
              </w:rPr>
              <w:t>2017-18</w:t>
            </w:r>
          </w:p>
        </w:tc>
        <w:tc>
          <w:tcPr>
            <w:tcW w:w="1124" w:type="dxa"/>
            <w:tcBorders>
              <w:top w:val="nil"/>
              <w:left w:val="nil"/>
              <w:bottom w:val="nil"/>
              <w:right w:val="single" w:sz="4" w:space="0" w:color="FFFFFF" w:themeColor="background1"/>
            </w:tcBorders>
            <w:shd w:val="clear" w:color="000000" w:fill="FFFFFF"/>
            <w:vAlign w:val="center"/>
            <w:hideMark/>
          </w:tcPr>
          <w:p w14:paraId="2619D932"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2,285</w:t>
            </w:r>
          </w:p>
        </w:tc>
        <w:tc>
          <w:tcPr>
            <w:tcW w:w="1124"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48AE2416"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1,515</w:t>
            </w:r>
          </w:p>
        </w:tc>
        <w:tc>
          <w:tcPr>
            <w:tcW w:w="1124"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5BAB406C"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1,831</w:t>
            </w:r>
          </w:p>
        </w:tc>
        <w:tc>
          <w:tcPr>
            <w:tcW w:w="1124"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53D366AB"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2,109</w:t>
            </w:r>
          </w:p>
        </w:tc>
        <w:tc>
          <w:tcPr>
            <w:tcW w:w="1161"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70169C7D"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869</w:t>
            </w:r>
          </w:p>
        </w:tc>
        <w:tc>
          <w:tcPr>
            <w:tcW w:w="1161"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2E7E569B"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609</w:t>
            </w:r>
          </w:p>
        </w:tc>
        <w:tc>
          <w:tcPr>
            <w:tcW w:w="101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3FCD4110"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213</w:t>
            </w:r>
          </w:p>
        </w:tc>
        <w:tc>
          <w:tcPr>
            <w:tcW w:w="1064"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4045EAF7"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296</w:t>
            </w:r>
          </w:p>
        </w:tc>
        <w:tc>
          <w:tcPr>
            <w:tcW w:w="1124" w:type="dxa"/>
            <w:tcBorders>
              <w:top w:val="nil"/>
              <w:left w:val="single" w:sz="4" w:space="0" w:color="FFFFFF" w:themeColor="background1"/>
              <w:bottom w:val="nil"/>
            </w:tcBorders>
            <w:shd w:val="clear" w:color="000000" w:fill="FFFFFF"/>
            <w:vAlign w:val="center"/>
            <w:hideMark/>
          </w:tcPr>
          <w:p w14:paraId="5553CBA3"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1,273</w:t>
            </w:r>
          </w:p>
        </w:tc>
        <w:tc>
          <w:tcPr>
            <w:tcW w:w="1260" w:type="dxa"/>
            <w:tcBorders>
              <w:top w:val="nil"/>
              <w:right w:val="single" w:sz="4" w:space="0" w:color="auto"/>
            </w:tcBorders>
            <w:shd w:val="clear" w:color="auto" w:fill="808080" w:themeFill="background1" w:themeFillShade="80"/>
            <w:hideMark/>
          </w:tcPr>
          <w:p w14:paraId="5381D997" w14:textId="62801924" w:rsidR="00E45427" w:rsidRPr="003B679E" w:rsidRDefault="00E45427" w:rsidP="00E45427">
            <w:pPr>
              <w:spacing w:after="0"/>
              <w:jc w:val="center"/>
              <w:rPr>
                <w:rFonts w:cs="Arial"/>
                <w:color w:val="FFFFFF"/>
                <w:sz w:val="18"/>
                <w:szCs w:val="18"/>
              </w:rPr>
            </w:pPr>
            <w:r w:rsidRPr="003B679E">
              <w:rPr>
                <w:rFonts w:cs="Arial"/>
                <w:color w:val="FFFFFF"/>
                <w:sz w:val="18"/>
                <w:szCs w:val="18"/>
              </w:rPr>
              <w:t>11,000</w:t>
            </w:r>
          </w:p>
        </w:tc>
      </w:tr>
      <w:tr w:rsidR="00594383" w:rsidRPr="000B372D" w14:paraId="33A363F0" w14:textId="77777777" w:rsidTr="00594383">
        <w:trPr>
          <w:trHeight w:val="306"/>
        </w:trPr>
        <w:tc>
          <w:tcPr>
            <w:tcW w:w="1165" w:type="dxa"/>
            <w:tcBorders>
              <w:top w:val="single" w:sz="4" w:space="0" w:color="FFFFFF"/>
              <w:left w:val="single" w:sz="4" w:space="0" w:color="auto"/>
              <w:bottom w:val="single" w:sz="4" w:space="0" w:color="FFFFFF"/>
              <w:right w:val="single" w:sz="4" w:space="0" w:color="FFFFFF"/>
            </w:tcBorders>
            <w:shd w:val="clear" w:color="000000" w:fill="EFD3D2"/>
            <w:noWrap/>
            <w:vAlign w:val="center"/>
            <w:hideMark/>
          </w:tcPr>
          <w:p w14:paraId="10E1CABE" w14:textId="77777777" w:rsidR="00E45427" w:rsidRPr="000B372D" w:rsidRDefault="00E45427" w:rsidP="00E45427">
            <w:pPr>
              <w:spacing w:after="0"/>
              <w:jc w:val="left"/>
              <w:rPr>
                <w:rFonts w:cs="Arial"/>
                <w:b/>
                <w:bCs/>
                <w:color w:val="000000"/>
                <w:sz w:val="18"/>
                <w:szCs w:val="18"/>
              </w:rPr>
            </w:pPr>
            <w:r w:rsidRPr="000B372D">
              <w:rPr>
                <w:rFonts w:cs="Arial"/>
                <w:b/>
                <w:bCs/>
                <w:color w:val="000000"/>
                <w:sz w:val="18"/>
                <w:szCs w:val="18"/>
              </w:rPr>
              <w:t>2018-19</w:t>
            </w:r>
          </w:p>
        </w:tc>
        <w:tc>
          <w:tcPr>
            <w:tcW w:w="1124" w:type="dxa"/>
            <w:tcBorders>
              <w:top w:val="nil"/>
              <w:left w:val="nil"/>
              <w:bottom w:val="nil"/>
              <w:right w:val="single" w:sz="4" w:space="0" w:color="FFFFFF" w:themeColor="background1"/>
            </w:tcBorders>
            <w:shd w:val="clear" w:color="000000" w:fill="EFD3D2"/>
            <w:vAlign w:val="center"/>
            <w:hideMark/>
          </w:tcPr>
          <w:p w14:paraId="412BA20E"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2,232</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41F4D46B"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1,716</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6885E4D6"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1,739</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73A8C905"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2,388</w:t>
            </w:r>
          </w:p>
        </w:tc>
        <w:tc>
          <w:tcPr>
            <w:tcW w:w="1161"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2D34B882"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832</w:t>
            </w:r>
          </w:p>
        </w:tc>
        <w:tc>
          <w:tcPr>
            <w:tcW w:w="1161"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5A971816"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730</w:t>
            </w:r>
          </w:p>
        </w:tc>
        <w:tc>
          <w:tcPr>
            <w:tcW w:w="101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7183DB0E"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265</w:t>
            </w:r>
          </w:p>
        </w:tc>
        <w:tc>
          <w:tcPr>
            <w:tcW w:w="106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6A77AAD5"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284</w:t>
            </w:r>
          </w:p>
        </w:tc>
        <w:tc>
          <w:tcPr>
            <w:tcW w:w="1124" w:type="dxa"/>
            <w:tcBorders>
              <w:top w:val="nil"/>
              <w:left w:val="single" w:sz="4" w:space="0" w:color="FFFFFF" w:themeColor="background1"/>
              <w:bottom w:val="nil"/>
            </w:tcBorders>
            <w:shd w:val="clear" w:color="000000" w:fill="EFD3D2"/>
            <w:vAlign w:val="center"/>
            <w:hideMark/>
          </w:tcPr>
          <w:p w14:paraId="0BE1AC3C"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1,398</w:t>
            </w:r>
          </w:p>
        </w:tc>
        <w:tc>
          <w:tcPr>
            <w:tcW w:w="1260" w:type="dxa"/>
            <w:tcBorders>
              <w:bottom w:val="nil"/>
              <w:right w:val="single" w:sz="4" w:space="0" w:color="auto"/>
            </w:tcBorders>
            <w:shd w:val="clear" w:color="auto" w:fill="808080" w:themeFill="background1" w:themeFillShade="80"/>
            <w:hideMark/>
          </w:tcPr>
          <w:p w14:paraId="716465D4" w14:textId="67516752" w:rsidR="00E45427" w:rsidRPr="003B679E" w:rsidRDefault="00E45427" w:rsidP="00E45427">
            <w:pPr>
              <w:spacing w:after="0"/>
              <w:jc w:val="center"/>
              <w:rPr>
                <w:rFonts w:cs="Arial"/>
                <w:color w:val="FFFFFF"/>
                <w:sz w:val="18"/>
                <w:szCs w:val="18"/>
              </w:rPr>
            </w:pPr>
            <w:r w:rsidRPr="003B679E">
              <w:rPr>
                <w:rFonts w:cs="Arial"/>
                <w:color w:val="FFFFFF"/>
                <w:sz w:val="18"/>
                <w:szCs w:val="18"/>
              </w:rPr>
              <w:t>11,584</w:t>
            </w:r>
          </w:p>
        </w:tc>
      </w:tr>
      <w:tr w:rsidR="00594383" w:rsidRPr="000B372D" w14:paraId="34FC3B20" w14:textId="77777777" w:rsidTr="00594383">
        <w:trPr>
          <w:trHeight w:val="306"/>
        </w:trPr>
        <w:tc>
          <w:tcPr>
            <w:tcW w:w="1165" w:type="dxa"/>
            <w:tcBorders>
              <w:top w:val="nil"/>
              <w:left w:val="single" w:sz="4" w:space="0" w:color="auto"/>
              <w:bottom w:val="nil"/>
              <w:right w:val="nil"/>
            </w:tcBorders>
            <w:shd w:val="clear" w:color="000000" w:fill="FFFFFF"/>
            <w:vAlign w:val="center"/>
            <w:hideMark/>
          </w:tcPr>
          <w:p w14:paraId="1E3DB3A6" w14:textId="77777777" w:rsidR="00E45427" w:rsidRPr="000B372D" w:rsidRDefault="00E45427" w:rsidP="00E45427">
            <w:pPr>
              <w:spacing w:after="0"/>
              <w:jc w:val="left"/>
              <w:rPr>
                <w:rFonts w:cs="Arial"/>
                <w:b/>
                <w:bCs/>
                <w:color w:val="000000"/>
                <w:sz w:val="18"/>
                <w:szCs w:val="18"/>
              </w:rPr>
            </w:pPr>
            <w:r w:rsidRPr="000B372D">
              <w:rPr>
                <w:rFonts w:cs="Arial"/>
                <w:b/>
                <w:bCs/>
                <w:color w:val="000000"/>
                <w:sz w:val="18"/>
                <w:szCs w:val="18"/>
              </w:rPr>
              <w:t>2019-20</w:t>
            </w:r>
          </w:p>
        </w:tc>
        <w:tc>
          <w:tcPr>
            <w:tcW w:w="1124" w:type="dxa"/>
            <w:tcBorders>
              <w:top w:val="nil"/>
              <w:left w:val="nil"/>
              <w:bottom w:val="nil"/>
              <w:right w:val="single" w:sz="4" w:space="0" w:color="FFFFFF" w:themeColor="background1"/>
            </w:tcBorders>
            <w:shd w:val="clear" w:color="000000" w:fill="FFFFFF"/>
            <w:vAlign w:val="center"/>
            <w:hideMark/>
          </w:tcPr>
          <w:p w14:paraId="4021A964"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2,310</w:t>
            </w:r>
          </w:p>
        </w:tc>
        <w:tc>
          <w:tcPr>
            <w:tcW w:w="1124"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666C431C"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1,631</w:t>
            </w:r>
          </w:p>
        </w:tc>
        <w:tc>
          <w:tcPr>
            <w:tcW w:w="1124"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62576495"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1,745</w:t>
            </w:r>
          </w:p>
        </w:tc>
        <w:tc>
          <w:tcPr>
            <w:tcW w:w="1124"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4DBA990C"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2,337</w:t>
            </w:r>
          </w:p>
        </w:tc>
        <w:tc>
          <w:tcPr>
            <w:tcW w:w="1161"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0A8E30F0"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798</w:t>
            </w:r>
          </w:p>
        </w:tc>
        <w:tc>
          <w:tcPr>
            <w:tcW w:w="1161"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0BF816EC"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733</w:t>
            </w:r>
          </w:p>
        </w:tc>
        <w:tc>
          <w:tcPr>
            <w:tcW w:w="101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479403E5"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264</w:t>
            </w:r>
          </w:p>
        </w:tc>
        <w:tc>
          <w:tcPr>
            <w:tcW w:w="1064"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14664FD2"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313</w:t>
            </w:r>
          </w:p>
        </w:tc>
        <w:tc>
          <w:tcPr>
            <w:tcW w:w="1124" w:type="dxa"/>
            <w:tcBorders>
              <w:top w:val="nil"/>
              <w:left w:val="single" w:sz="4" w:space="0" w:color="FFFFFF" w:themeColor="background1"/>
              <w:bottom w:val="nil"/>
            </w:tcBorders>
            <w:shd w:val="clear" w:color="000000" w:fill="FFFFFF"/>
            <w:vAlign w:val="center"/>
            <w:hideMark/>
          </w:tcPr>
          <w:p w14:paraId="3410E6C8"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1,466</w:t>
            </w:r>
          </w:p>
        </w:tc>
        <w:tc>
          <w:tcPr>
            <w:tcW w:w="1260" w:type="dxa"/>
            <w:tcBorders>
              <w:top w:val="nil"/>
              <w:bottom w:val="nil"/>
              <w:right w:val="single" w:sz="4" w:space="0" w:color="auto"/>
            </w:tcBorders>
            <w:shd w:val="clear" w:color="auto" w:fill="808080" w:themeFill="background1" w:themeFillShade="80"/>
            <w:hideMark/>
          </w:tcPr>
          <w:p w14:paraId="4B346B11" w14:textId="38F5AE8C" w:rsidR="00E45427" w:rsidRPr="003B679E" w:rsidRDefault="00E45427" w:rsidP="00E45427">
            <w:pPr>
              <w:spacing w:after="0"/>
              <w:jc w:val="center"/>
              <w:rPr>
                <w:rFonts w:cs="Arial"/>
                <w:color w:val="FFFFFF"/>
                <w:sz w:val="18"/>
                <w:szCs w:val="18"/>
              </w:rPr>
            </w:pPr>
            <w:r w:rsidRPr="003B679E">
              <w:rPr>
                <w:rFonts w:cs="Arial"/>
                <w:color w:val="FFFFFF"/>
                <w:sz w:val="18"/>
                <w:szCs w:val="18"/>
              </w:rPr>
              <w:t>11,597</w:t>
            </w:r>
          </w:p>
        </w:tc>
      </w:tr>
      <w:tr w:rsidR="00594383" w:rsidRPr="000B372D" w14:paraId="27394DFF" w14:textId="77777777" w:rsidTr="00594383">
        <w:trPr>
          <w:trHeight w:val="306"/>
        </w:trPr>
        <w:tc>
          <w:tcPr>
            <w:tcW w:w="1165" w:type="dxa"/>
            <w:tcBorders>
              <w:top w:val="single" w:sz="4" w:space="0" w:color="FFFFFF"/>
              <w:left w:val="single" w:sz="4" w:space="0" w:color="auto"/>
              <w:bottom w:val="single" w:sz="4" w:space="0" w:color="FFFFFF"/>
              <w:right w:val="single" w:sz="4" w:space="0" w:color="FFFFFF"/>
            </w:tcBorders>
            <w:shd w:val="clear" w:color="000000" w:fill="EFD3D2"/>
            <w:noWrap/>
            <w:vAlign w:val="center"/>
            <w:hideMark/>
          </w:tcPr>
          <w:p w14:paraId="4B750D32" w14:textId="77777777" w:rsidR="00E45427" w:rsidRPr="000B372D" w:rsidRDefault="00E45427" w:rsidP="00E45427">
            <w:pPr>
              <w:spacing w:after="0"/>
              <w:jc w:val="left"/>
              <w:rPr>
                <w:rFonts w:cs="Arial"/>
                <w:b/>
                <w:bCs/>
                <w:color w:val="000000"/>
                <w:sz w:val="18"/>
                <w:szCs w:val="18"/>
              </w:rPr>
            </w:pPr>
            <w:r w:rsidRPr="000B372D">
              <w:rPr>
                <w:rFonts w:cs="Arial"/>
                <w:b/>
                <w:bCs/>
                <w:color w:val="000000"/>
                <w:sz w:val="18"/>
                <w:szCs w:val="18"/>
              </w:rPr>
              <w:t>2020-21</w:t>
            </w:r>
          </w:p>
        </w:tc>
        <w:tc>
          <w:tcPr>
            <w:tcW w:w="1124" w:type="dxa"/>
            <w:tcBorders>
              <w:top w:val="nil"/>
              <w:left w:val="nil"/>
              <w:bottom w:val="nil"/>
              <w:right w:val="single" w:sz="4" w:space="0" w:color="FFFFFF" w:themeColor="background1"/>
            </w:tcBorders>
            <w:shd w:val="clear" w:color="000000" w:fill="EFD3D2"/>
            <w:vAlign w:val="center"/>
            <w:hideMark/>
          </w:tcPr>
          <w:p w14:paraId="64881772"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2,579</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53F859EA"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1,243</w:t>
            </w:r>
          </w:p>
        </w:tc>
        <w:tc>
          <w:tcPr>
            <w:tcW w:w="1124" w:type="dxa"/>
            <w:tcBorders>
              <w:top w:val="nil"/>
              <w:left w:val="single" w:sz="4" w:space="0" w:color="FFFFFF" w:themeColor="background1"/>
              <w:right w:val="single" w:sz="4" w:space="0" w:color="FFFFFF" w:themeColor="background1"/>
            </w:tcBorders>
            <w:shd w:val="clear" w:color="000000" w:fill="EFD3D2"/>
            <w:vAlign w:val="center"/>
            <w:hideMark/>
          </w:tcPr>
          <w:p w14:paraId="799E3641"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1,870</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45944A0F"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2,585</w:t>
            </w:r>
          </w:p>
        </w:tc>
        <w:tc>
          <w:tcPr>
            <w:tcW w:w="1161"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64E9F165"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953</w:t>
            </w:r>
          </w:p>
        </w:tc>
        <w:tc>
          <w:tcPr>
            <w:tcW w:w="1161"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7DDEA89F"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730</w:t>
            </w:r>
          </w:p>
        </w:tc>
        <w:tc>
          <w:tcPr>
            <w:tcW w:w="101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61F7E268"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198</w:t>
            </w:r>
          </w:p>
        </w:tc>
        <w:tc>
          <w:tcPr>
            <w:tcW w:w="106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7DB5995A"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416</w:t>
            </w:r>
          </w:p>
        </w:tc>
        <w:tc>
          <w:tcPr>
            <w:tcW w:w="1124"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3AC90F47"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1,634</w:t>
            </w:r>
          </w:p>
        </w:tc>
        <w:tc>
          <w:tcPr>
            <w:tcW w:w="1260" w:type="dxa"/>
            <w:tcBorders>
              <w:top w:val="nil"/>
              <w:left w:val="nil"/>
              <w:bottom w:val="nil"/>
              <w:right w:val="single" w:sz="4" w:space="0" w:color="auto"/>
            </w:tcBorders>
            <w:shd w:val="clear" w:color="auto" w:fill="808080" w:themeFill="background1" w:themeFillShade="80"/>
            <w:hideMark/>
          </w:tcPr>
          <w:p w14:paraId="34E3EE4A" w14:textId="44361111" w:rsidR="00E45427" w:rsidRPr="003B679E" w:rsidRDefault="00E45427" w:rsidP="00E45427">
            <w:pPr>
              <w:spacing w:after="0"/>
              <w:jc w:val="center"/>
              <w:rPr>
                <w:rFonts w:cs="Arial"/>
                <w:color w:val="FFFFFF"/>
                <w:sz w:val="18"/>
                <w:szCs w:val="18"/>
              </w:rPr>
            </w:pPr>
            <w:r w:rsidRPr="003B679E">
              <w:rPr>
                <w:rFonts w:cs="Arial"/>
                <w:color w:val="FFFFFF"/>
                <w:sz w:val="18"/>
                <w:szCs w:val="18"/>
              </w:rPr>
              <w:t>12,208</w:t>
            </w:r>
          </w:p>
        </w:tc>
      </w:tr>
      <w:tr w:rsidR="00B51A57" w:rsidRPr="000B372D" w14:paraId="19B0692D" w14:textId="77777777" w:rsidTr="00594383">
        <w:trPr>
          <w:trHeight w:val="306"/>
        </w:trPr>
        <w:tc>
          <w:tcPr>
            <w:tcW w:w="1165" w:type="dxa"/>
            <w:tcBorders>
              <w:top w:val="nil"/>
              <w:left w:val="single" w:sz="4" w:space="0" w:color="auto"/>
              <w:bottom w:val="single" w:sz="4" w:space="0" w:color="auto"/>
              <w:right w:val="nil"/>
            </w:tcBorders>
            <w:shd w:val="clear" w:color="000000" w:fill="FFFFFF"/>
            <w:vAlign w:val="center"/>
            <w:hideMark/>
          </w:tcPr>
          <w:p w14:paraId="5C72038E" w14:textId="77777777" w:rsidR="00E45427" w:rsidRPr="000B372D" w:rsidRDefault="00E45427" w:rsidP="00E45427">
            <w:pPr>
              <w:spacing w:after="0"/>
              <w:jc w:val="left"/>
              <w:rPr>
                <w:rFonts w:cs="Arial"/>
                <w:b/>
                <w:bCs/>
                <w:color w:val="000000"/>
                <w:sz w:val="18"/>
                <w:szCs w:val="18"/>
              </w:rPr>
            </w:pPr>
            <w:r w:rsidRPr="000B372D">
              <w:rPr>
                <w:rFonts w:cs="Arial"/>
                <w:b/>
                <w:bCs/>
                <w:color w:val="000000"/>
                <w:sz w:val="18"/>
                <w:szCs w:val="18"/>
              </w:rPr>
              <w:t>2021-22p</w:t>
            </w:r>
          </w:p>
        </w:tc>
        <w:tc>
          <w:tcPr>
            <w:tcW w:w="1124" w:type="dxa"/>
            <w:tcBorders>
              <w:top w:val="nil"/>
              <w:left w:val="nil"/>
              <w:bottom w:val="single" w:sz="4" w:space="0" w:color="auto"/>
              <w:right w:val="single" w:sz="4" w:space="0" w:color="FFFFFF" w:themeColor="background1"/>
            </w:tcBorders>
            <w:shd w:val="clear" w:color="auto" w:fill="auto"/>
            <w:vAlign w:val="center"/>
            <w:hideMark/>
          </w:tcPr>
          <w:p w14:paraId="1CFF4936"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4,118</w:t>
            </w:r>
          </w:p>
        </w:tc>
        <w:tc>
          <w:tcPr>
            <w:tcW w:w="1124" w:type="dxa"/>
            <w:tcBorders>
              <w:top w:val="nil"/>
              <w:left w:val="single" w:sz="4" w:space="0" w:color="FFFFFF" w:themeColor="background1"/>
              <w:bottom w:val="single" w:sz="4" w:space="0" w:color="auto"/>
            </w:tcBorders>
            <w:shd w:val="clear" w:color="auto" w:fill="auto"/>
            <w:vAlign w:val="center"/>
            <w:hideMark/>
          </w:tcPr>
          <w:p w14:paraId="08A8624E"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1,086</w:t>
            </w:r>
          </w:p>
        </w:tc>
        <w:tc>
          <w:tcPr>
            <w:tcW w:w="1124" w:type="dxa"/>
            <w:tcBorders>
              <w:top w:val="nil"/>
              <w:bottom w:val="single" w:sz="4" w:space="0" w:color="auto"/>
              <w:right w:val="single" w:sz="4" w:space="0" w:color="FFFFFF" w:themeColor="background1"/>
            </w:tcBorders>
            <w:shd w:val="clear" w:color="auto" w:fill="auto"/>
            <w:vAlign w:val="center"/>
            <w:hideMark/>
          </w:tcPr>
          <w:p w14:paraId="3ECFFAF7"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1,810</w:t>
            </w:r>
          </w:p>
        </w:tc>
        <w:tc>
          <w:tcPr>
            <w:tcW w:w="1124"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4BDBAB26"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1,953</w:t>
            </w:r>
          </w:p>
        </w:tc>
        <w:tc>
          <w:tcPr>
            <w:tcW w:w="116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541AD57"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893</w:t>
            </w:r>
          </w:p>
        </w:tc>
        <w:tc>
          <w:tcPr>
            <w:tcW w:w="116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3A3C8F6"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792</w:t>
            </w:r>
          </w:p>
        </w:tc>
        <w:tc>
          <w:tcPr>
            <w:tcW w:w="1010"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3D613D7D"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152</w:t>
            </w:r>
          </w:p>
        </w:tc>
        <w:tc>
          <w:tcPr>
            <w:tcW w:w="1064"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5680C01F"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330</w:t>
            </w:r>
          </w:p>
        </w:tc>
        <w:tc>
          <w:tcPr>
            <w:tcW w:w="1124"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24574BB1" w14:textId="77777777" w:rsidR="00E45427" w:rsidRPr="000B372D" w:rsidRDefault="00E45427" w:rsidP="00E45427">
            <w:pPr>
              <w:spacing w:after="0"/>
              <w:jc w:val="center"/>
              <w:rPr>
                <w:rFonts w:cs="Arial"/>
                <w:color w:val="000000"/>
                <w:sz w:val="18"/>
                <w:szCs w:val="18"/>
              </w:rPr>
            </w:pPr>
            <w:r w:rsidRPr="000B372D">
              <w:rPr>
                <w:rFonts w:cs="Arial"/>
                <w:color w:val="000000"/>
                <w:sz w:val="18"/>
                <w:szCs w:val="18"/>
              </w:rPr>
              <w:t>1,652</w:t>
            </w:r>
          </w:p>
        </w:tc>
        <w:tc>
          <w:tcPr>
            <w:tcW w:w="1260" w:type="dxa"/>
            <w:tcBorders>
              <w:top w:val="nil"/>
              <w:left w:val="nil"/>
              <w:bottom w:val="single" w:sz="4" w:space="0" w:color="auto"/>
              <w:right w:val="single" w:sz="4" w:space="0" w:color="auto"/>
            </w:tcBorders>
            <w:shd w:val="clear" w:color="000000" w:fill="808080"/>
            <w:hideMark/>
          </w:tcPr>
          <w:p w14:paraId="3C86C7EB" w14:textId="69399BB4" w:rsidR="00E45427" w:rsidRPr="003B679E" w:rsidRDefault="00E45427" w:rsidP="00E45427">
            <w:pPr>
              <w:spacing w:after="0"/>
              <w:jc w:val="center"/>
              <w:rPr>
                <w:rFonts w:cs="Arial"/>
                <w:color w:val="FFFFFF"/>
                <w:sz w:val="18"/>
                <w:szCs w:val="18"/>
              </w:rPr>
            </w:pPr>
            <w:r w:rsidRPr="003B679E">
              <w:rPr>
                <w:rFonts w:cs="Arial"/>
                <w:color w:val="FFFFFF"/>
                <w:sz w:val="18"/>
                <w:szCs w:val="18"/>
              </w:rPr>
              <w:t>12,786</w:t>
            </w:r>
          </w:p>
        </w:tc>
      </w:tr>
    </w:tbl>
    <w:p w14:paraId="74D063AB" w14:textId="0C611425" w:rsidR="008659BF" w:rsidRDefault="004E616F" w:rsidP="0069576C">
      <w:pPr>
        <w:pStyle w:val="Heading3"/>
      </w:pPr>
      <w:bookmarkStart w:id="29" w:name="_Toc150245664"/>
      <w:bookmarkStart w:id="30" w:name="_Hlk56772447"/>
      <w:r w:rsidRPr="00086AB2">
        <w:t>Self-insured claims</w:t>
      </w:r>
      <w:r>
        <w:t xml:space="preserve"> as a</w:t>
      </w:r>
      <w:r w:rsidRPr="00086AB2">
        <w:t xml:space="preserve"> proportion of serious claims by jurisdiction</w:t>
      </w:r>
      <w:r>
        <w:t xml:space="preserve"> (%)</w:t>
      </w:r>
      <w:r w:rsidR="0069576C">
        <w:t xml:space="preserve"> (previously i</w:t>
      </w:r>
      <w:r w:rsidR="0069576C" w:rsidRPr="00086AB2">
        <w:t>ndicator 5b</w:t>
      </w:r>
      <w:r w:rsidR="0069576C">
        <w:t>)</w:t>
      </w:r>
      <w:bookmarkEnd w:id="29"/>
    </w:p>
    <w:tbl>
      <w:tblPr>
        <w:tblpPr w:leftFromText="180" w:rightFromText="180" w:vertAnchor="text" w:horzAnchor="margin" w:tblpY="102"/>
        <w:tblW w:w="12429" w:type="dxa"/>
        <w:tblLook w:val="04A0" w:firstRow="1" w:lastRow="0" w:firstColumn="1" w:lastColumn="0" w:noHBand="0" w:noVBand="1"/>
      </w:tblPr>
      <w:tblGrid>
        <w:gridCol w:w="1136"/>
        <w:gridCol w:w="1110"/>
        <w:gridCol w:w="1106"/>
        <w:gridCol w:w="1106"/>
        <w:gridCol w:w="1120"/>
        <w:gridCol w:w="1106"/>
        <w:gridCol w:w="1120"/>
        <w:gridCol w:w="1120"/>
        <w:gridCol w:w="1120"/>
        <w:gridCol w:w="1120"/>
        <w:gridCol w:w="1265"/>
      </w:tblGrid>
      <w:tr w:rsidR="00B51A57" w:rsidRPr="000D3759" w14:paraId="3180FFE4" w14:textId="77777777" w:rsidTr="003B679E">
        <w:trPr>
          <w:trHeight w:val="489"/>
        </w:trPr>
        <w:tc>
          <w:tcPr>
            <w:tcW w:w="1136" w:type="dxa"/>
            <w:tcBorders>
              <w:top w:val="single" w:sz="4" w:space="0" w:color="auto"/>
              <w:left w:val="single" w:sz="4" w:space="0" w:color="auto"/>
              <w:bottom w:val="single" w:sz="4" w:space="0" w:color="DA9694"/>
              <w:right w:val="nil"/>
            </w:tcBorders>
            <w:shd w:val="clear" w:color="000000" w:fill="AF1E2D"/>
            <w:vAlign w:val="center"/>
            <w:hideMark/>
          </w:tcPr>
          <w:p w14:paraId="23A28663" w14:textId="77777777" w:rsidR="00E45427" w:rsidRPr="000D3759" w:rsidRDefault="00E45427" w:rsidP="0069576C">
            <w:pPr>
              <w:spacing w:after="0"/>
              <w:jc w:val="center"/>
              <w:rPr>
                <w:rFonts w:cs="Arial"/>
                <w:b/>
                <w:bCs/>
                <w:color w:val="FFFFFF"/>
                <w:sz w:val="18"/>
                <w:szCs w:val="18"/>
              </w:rPr>
            </w:pPr>
            <w:r w:rsidRPr="000D3759">
              <w:rPr>
                <w:rFonts w:cs="Arial"/>
                <w:b/>
                <w:bCs/>
                <w:color w:val="FFFFFF"/>
                <w:sz w:val="18"/>
                <w:szCs w:val="18"/>
              </w:rPr>
              <w:t>Year</w:t>
            </w:r>
          </w:p>
        </w:tc>
        <w:tc>
          <w:tcPr>
            <w:tcW w:w="1110" w:type="dxa"/>
            <w:tcBorders>
              <w:top w:val="single" w:sz="4" w:space="0" w:color="auto"/>
              <w:left w:val="nil"/>
              <w:bottom w:val="single" w:sz="4" w:space="0" w:color="DA9694"/>
              <w:right w:val="single" w:sz="4" w:space="0" w:color="FFFFFF" w:themeColor="background1"/>
            </w:tcBorders>
            <w:shd w:val="clear" w:color="000000" w:fill="AF1E2D"/>
            <w:vAlign w:val="center"/>
            <w:hideMark/>
          </w:tcPr>
          <w:p w14:paraId="2D0A58EF" w14:textId="77777777" w:rsidR="00E45427" w:rsidRPr="000D3759" w:rsidRDefault="00E45427" w:rsidP="0069576C">
            <w:pPr>
              <w:spacing w:after="0"/>
              <w:jc w:val="center"/>
              <w:rPr>
                <w:rFonts w:cs="Arial"/>
                <w:b/>
                <w:bCs/>
                <w:color w:val="FFFFFF"/>
                <w:sz w:val="18"/>
                <w:szCs w:val="18"/>
              </w:rPr>
            </w:pPr>
            <w:r w:rsidRPr="000D3759">
              <w:rPr>
                <w:rFonts w:cs="Arial"/>
                <w:b/>
                <w:bCs/>
                <w:color w:val="FFFFFF"/>
                <w:sz w:val="18"/>
                <w:szCs w:val="18"/>
              </w:rPr>
              <w:t>NSW</w:t>
            </w:r>
          </w:p>
        </w:tc>
        <w:tc>
          <w:tcPr>
            <w:tcW w:w="1106" w:type="dxa"/>
            <w:tcBorders>
              <w:top w:val="single" w:sz="4" w:space="0" w:color="auto"/>
              <w:left w:val="single" w:sz="4" w:space="0" w:color="FFFFFF" w:themeColor="background1"/>
              <w:bottom w:val="single" w:sz="4" w:space="0" w:color="DA9694"/>
              <w:right w:val="nil"/>
            </w:tcBorders>
            <w:shd w:val="clear" w:color="000000" w:fill="AF1E2D"/>
            <w:vAlign w:val="center"/>
            <w:hideMark/>
          </w:tcPr>
          <w:p w14:paraId="0102A1EB" w14:textId="77777777" w:rsidR="00E45427" w:rsidRPr="000D3759" w:rsidRDefault="00E45427" w:rsidP="0069576C">
            <w:pPr>
              <w:spacing w:after="0"/>
              <w:jc w:val="center"/>
              <w:rPr>
                <w:rFonts w:cs="Arial"/>
                <w:b/>
                <w:bCs/>
                <w:color w:val="FFFFFF"/>
                <w:sz w:val="18"/>
                <w:szCs w:val="18"/>
              </w:rPr>
            </w:pPr>
            <w:r w:rsidRPr="000D3759">
              <w:rPr>
                <w:rFonts w:cs="Arial"/>
                <w:b/>
                <w:bCs/>
                <w:color w:val="FFFFFF"/>
                <w:sz w:val="18"/>
                <w:szCs w:val="18"/>
              </w:rPr>
              <w:t>VIC</w:t>
            </w:r>
          </w:p>
        </w:tc>
        <w:tc>
          <w:tcPr>
            <w:tcW w:w="1106" w:type="dxa"/>
            <w:tcBorders>
              <w:top w:val="single" w:sz="4" w:space="0" w:color="auto"/>
              <w:left w:val="nil"/>
              <w:bottom w:val="single" w:sz="4" w:space="0" w:color="DA9694"/>
              <w:right w:val="single" w:sz="4" w:space="0" w:color="FFFFFF" w:themeColor="background1"/>
            </w:tcBorders>
            <w:shd w:val="clear" w:color="000000" w:fill="AF1E2D"/>
            <w:vAlign w:val="center"/>
            <w:hideMark/>
          </w:tcPr>
          <w:p w14:paraId="5D0A66B9" w14:textId="77777777" w:rsidR="00E45427" w:rsidRPr="000D3759" w:rsidRDefault="00E45427" w:rsidP="0069576C">
            <w:pPr>
              <w:spacing w:after="0"/>
              <w:jc w:val="center"/>
              <w:rPr>
                <w:rFonts w:cs="Arial"/>
                <w:b/>
                <w:bCs/>
                <w:color w:val="FFFFFF"/>
                <w:sz w:val="18"/>
                <w:szCs w:val="18"/>
              </w:rPr>
            </w:pPr>
            <w:r w:rsidRPr="000D3759">
              <w:rPr>
                <w:rFonts w:cs="Arial"/>
                <w:b/>
                <w:bCs/>
                <w:color w:val="FFFFFF"/>
                <w:sz w:val="18"/>
                <w:szCs w:val="18"/>
              </w:rPr>
              <w:t>QLD</w:t>
            </w:r>
          </w:p>
        </w:tc>
        <w:tc>
          <w:tcPr>
            <w:tcW w:w="1120"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7313A371" w14:textId="77777777" w:rsidR="00E45427" w:rsidRPr="000D3759" w:rsidRDefault="00E45427" w:rsidP="0069576C">
            <w:pPr>
              <w:spacing w:after="0"/>
              <w:jc w:val="center"/>
              <w:rPr>
                <w:rFonts w:cs="Arial"/>
                <w:b/>
                <w:bCs/>
                <w:color w:val="FFFFFF"/>
                <w:sz w:val="18"/>
                <w:szCs w:val="18"/>
              </w:rPr>
            </w:pPr>
            <w:r w:rsidRPr="000D3759">
              <w:rPr>
                <w:rFonts w:cs="Arial"/>
                <w:b/>
                <w:bCs/>
                <w:color w:val="FFFFFF"/>
                <w:sz w:val="18"/>
                <w:szCs w:val="18"/>
              </w:rPr>
              <w:t>SA</w:t>
            </w:r>
          </w:p>
        </w:tc>
        <w:tc>
          <w:tcPr>
            <w:tcW w:w="1106"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5372225B" w14:textId="77777777" w:rsidR="00E45427" w:rsidRPr="000D3759" w:rsidRDefault="00E45427" w:rsidP="0069576C">
            <w:pPr>
              <w:spacing w:after="0"/>
              <w:jc w:val="center"/>
              <w:rPr>
                <w:rFonts w:cs="Arial"/>
                <w:b/>
                <w:bCs/>
                <w:color w:val="FFFFFF"/>
                <w:sz w:val="18"/>
                <w:szCs w:val="18"/>
              </w:rPr>
            </w:pPr>
            <w:r w:rsidRPr="000D3759">
              <w:rPr>
                <w:rFonts w:cs="Arial"/>
                <w:b/>
                <w:bCs/>
                <w:color w:val="FFFFFF"/>
                <w:sz w:val="18"/>
                <w:szCs w:val="18"/>
              </w:rPr>
              <w:t>WA</w:t>
            </w:r>
          </w:p>
        </w:tc>
        <w:tc>
          <w:tcPr>
            <w:tcW w:w="1120"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5C9CE415" w14:textId="77777777" w:rsidR="00E45427" w:rsidRPr="0069576C" w:rsidRDefault="00E45427" w:rsidP="0069576C">
            <w:pPr>
              <w:spacing w:after="0"/>
              <w:jc w:val="center"/>
              <w:rPr>
                <w:rFonts w:cs="Arial"/>
                <w:b/>
                <w:bCs/>
                <w:color w:val="FFFFFF"/>
                <w:sz w:val="18"/>
                <w:szCs w:val="18"/>
                <w:vertAlign w:val="superscript"/>
              </w:rPr>
            </w:pPr>
            <w:r w:rsidRPr="000D3759">
              <w:rPr>
                <w:rFonts w:cs="Arial"/>
                <w:b/>
                <w:bCs/>
                <w:color w:val="FFFFFF"/>
                <w:sz w:val="18"/>
                <w:szCs w:val="18"/>
              </w:rPr>
              <w:t>TAS</w:t>
            </w:r>
            <w:r>
              <w:rPr>
                <w:rFonts w:cs="Arial"/>
                <w:b/>
                <w:bCs/>
                <w:color w:val="FFFFFF"/>
                <w:sz w:val="18"/>
                <w:szCs w:val="18"/>
                <w:vertAlign w:val="superscript"/>
              </w:rPr>
              <w:t xml:space="preserve"> (a)</w:t>
            </w:r>
          </w:p>
        </w:tc>
        <w:tc>
          <w:tcPr>
            <w:tcW w:w="1120"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09E6F078" w14:textId="77777777" w:rsidR="00E45427" w:rsidRPr="000D3759" w:rsidRDefault="00E45427" w:rsidP="0069576C">
            <w:pPr>
              <w:spacing w:after="0"/>
              <w:jc w:val="center"/>
              <w:rPr>
                <w:rFonts w:cs="Arial"/>
                <w:b/>
                <w:bCs/>
                <w:color w:val="FFFFFF"/>
                <w:sz w:val="18"/>
                <w:szCs w:val="18"/>
              </w:rPr>
            </w:pPr>
            <w:r w:rsidRPr="000D3759">
              <w:rPr>
                <w:rFonts w:cs="Arial"/>
                <w:b/>
                <w:bCs/>
                <w:color w:val="FFFFFF"/>
                <w:sz w:val="18"/>
                <w:szCs w:val="18"/>
              </w:rPr>
              <w:t>NT</w:t>
            </w:r>
          </w:p>
        </w:tc>
        <w:tc>
          <w:tcPr>
            <w:tcW w:w="1120"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7BA3E237" w14:textId="77777777" w:rsidR="00E45427" w:rsidRPr="000D3759" w:rsidRDefault="00E45427" w:rsidP="0069576C">
            <w:pPr>
              <w:spacing w:after="0"/>
              <w:jc w:val="center"/>
              <w:rPr>
                <w:rFonts w:cs="Arial"/>
                <w:b/>
                <w:bCs/>
                <w:color w:val="FFFFFF"/>
                <w:sz w:val="18"/>
                <w:szCs w:val="18"/>
              </w:rPr>
            </w:pPr>
            <w:r w:rsidRPr="000D3759">
              <w:rPr>
                <w:rFonts w:cs="Arial"/>
                <w:b/>
                <w:bCs/>
                <w:color w:val="FFFFFF"/>
                <w:sz w:val="18"/>
                <w:szCs w:val="18"/>
              </w:rPr>
              <w:t>ACT</w:t>
            </w:r>
            <w:r>
              <w:rPr>
                <w:rFonts w:cs="Arial"/>
                <w:b/>
                <w:bCs/>
                <w:color w:val="FFFFFF"/>
                <w:sz w:val="18"/>
                <w:szCs w:val="18"/>
                <w:vertAlign w:val="superscript"/>
              </w:rPr>
              <w:t xml:space="preserve"> (b)</w:t>
            </w:r>
          </w:p>
        </w:tc>
        <w:tc>
          <w:tcPr>
            <w:tcW w:w="1120" w:type="dxa"/>
            <w:tcBorders>
              <w:top w:val="single" w:sz="4" w:space="0" w:color="auto"/>
              <w:left w:val="single" w:sz="4" w:space="0" w:color="FFFFFF" w:themeColor="background1"/>
              <w:bottom w:val="single" w:sz="4" w:space="0" w:color="DA9694"/>
              <w:right w:val="single" w:sz="4" w:space="0" w:color="FFFFFF" w:themeColor="background1"/>
            </w:tcBorders>
            <w:shd w:val="clear" w:color="000000" w:fill="AF1E2D"/>
            <w:vAlign w:val="center"/>
            <w:hideMark/>
          </w:tcPr>
          <w:p w14:paraId="592A41C7" w14:textId="77777777" w:rsidR="00E45427" w:rsidRPr="000D3759" w:rsidRDefault="00E45427" w:rsidP="0069576C">
            <w:pPr>
              <w:spacing w:after="0"/>
              <w:jc w:val="center"/>
              <w:rPr>
                <w:rFonts w:cs="Arial"/>
                <w:b/>
                <w:bCs/>
                <w:color w:val="FFFFFF"/>
                <w:sz w:val="18"/>
                <w:szCs w:val="18"/>
              </w:rPr>
            </w:pPr>
            <w:r w:rsidRPr="000D3759">
              <w:rPr>
                <w:rFonts w:cs="Arial"/>
                <w:b/>
                <w:bCs/>
                <w:color w:val="FFFFFF"/>
                <w:sz w:val="18"/>
                <w:szCs w:val="18"/>
              </w:rPr>
              <w:t>Aus Gov</w:t>
            </w:r>
          </w:p>
        </w:tc>
        <w:tc>
          <w:tcPr>
            <w:tcW w:w="1265" w:type="dxa"/>
            <w:tcBorders>
              <w:top w:val="single" w:sz="4" w:space="0" w:color="auto"/>
              <w:left w:val="nil"/>
              <w:bottom w:val="single" w:sz="4" w:space="0" w:color="DA9694"/>
              <w:right w:val="single" w:sz="4" w:space="0" w:color="auto"/>
            </w:tcBorders>
            <w:shd w:val="clear" w:color="000000" w:fill="808080"/>
            <w:vAlign w:val="center"/>
            <w:hideMark/>
          </w:tcPr>
          <w:p w14:paraId="0501CF79" w14:textId="77777777" w:rsidR="00E45427" w:rsidRPr="000D3759" w:rsidRDefault="00E45427" w:rsidP="0069576C">
            <w:pPr>
              <w:spacing w:after="0"/>
              <w:jc w:val="center"/>
              <w:rPr>
                <w:rFonts w:cs="Arial"/>
                <w:b/>
                <w:bCs/>
                <w:color w:val="FFFFFF"/>
                <w:sz w:val="18"/>
                <w:szCs w:val="18"/>
              </w:rPr>
            </w:pPr>
            <w:r>
              <w:rPr>
                <w:rFonts w:cs="Arial"/>
                <w:b/>
                <w:bCs/>
                <w:color w:val="FFFFFF"/>
                <w:sz w:val="18"/>
                <w:szCs w:val="18"/>
              </w:rPr>
              <w:t>Australian</w:t>
            </w:r>
            <w:r w:rsidRPr="000D3759">
              <w:rPr>
                <w:rFonts w:cs="Arial"/>
                <w:b/>
                <w:bCs/>
                <w:color w:val="FFFFFF"/>
                <w:sz w:val="18"/>
                <w:szCs w:val="18"/>
              </w:rPr>
              <w:t xml:space="preserve"> Total</w:t>
            </w:r>
            <w:r>
              <w:rPr>
                <w:rFonts w:cs="Arial"/>
                <w:b/>
                <w:bCs/>
                <w:color w:val="FFFFFF"/>
                <w:sz w:val="18"/>
                <w:szCs w:val="18"/>
              </w:rPr>
              <w:t xml:space="preserve"> </w:t>
            </w:r>
            <w:r w:rsidRPr="0069576C">
              <w:rPr>
                <w:rFonts w:cs="Arial"/>
                <w:b/>
                <w:bCs/>
                <w:color w:val="FFFFFF"/>
                <w:sz w:val="18"/>
                <w:szCs w:val="18"/>
                <w:vertAlign w:val="superscript"/>
              </w:rPr>
              <w:t>(c)</w:t>
            </w:r>
          </w:p>
        </w:tc>
      </w:tr>
      <w:tr w:rsidR="00B51A57" w:rsidRPr="000D3759" w14:paraId="2BC3E9ED" w14:textId="77777777" w:rsidTr="003B679E">
        <w:trPr>
          <w:trHeight w:val="287"/>
        </w:trPr>
        <w:tc>
          <w:tcPr>
            <w:tcW w:w="1136" w:type="dxa"/>
            <w:tcBorders>
              <w:top w:val="single" w:sz="4" w:space="0" w:color="FFFFFF"/>
              <w:left w:val="single" w:sz="4" w:space="0" w:color="auto"/>
              <w:bottom w:val="single" w:sz="4" w:space="0" w:color="FFFFFF"/>
              <w:right w:val="single" w:sz="4" w:space="0" w:color="FFFFFF"/>
            </w:tcBorders>
            <w:shd w:val="clear" w:color="000000" w:fill="EFD3D2"/>
            <w:noWrap/>
            <w:vAlign w:val="center"/>
            <w:hideMark/>
          </w:tcPr>
          <w:p w14:paraId="3CE5AABD" w14:textId="77777777" w:rsidR="00E45427" w:rsidRPr="000D3759" w:rsidRDefault="00E45427" w:rsidP="0069576C">
            <w:pPr>
              <w:spacing w:after="0"/>
              <w:jc w:val="left"/>
              <w:rPr>
                <w:rFonts w:cs="Arial"/>
                <w:b/>
                <w:bCs/>
                <w:color w:val="000000"/>
                <w:sz w:val="18"/>
                <w:szCs w:val="18"/>
              </w:rPr>
            </w:pPr>
            <w:r w:rsidRPr="000D3759">
              <w:rPr>
                <w:rFonts w:cs="Arial"/>
                <w:b/>
                <w:bCs/>
                <w:color w:val="000000"/>
                <w:sz w:val="18"/>
                <w:szCs w:val="18"/>
              </w:rPr>
              <w:t>2016-17</w:t>
            </w:r>
          </w:p>
        </w:tc>
        <w:tc>
          <w:tcPr>
            <w:tcW w:w="1110" w:type="dxa"/>
            <w:tcBorders>
              <w:top w:val="nil"/>
              <w:left w:val="nil"/>
              <w:bottom w:val="nil"/>
              <w:right w:val="single" w:sz="4" w:space="0" w:color="FFFFFF" w:themeColor="background1"/>
            </w:tcBorders>
            <w:shd w:val="clear" w:color="000000" w:fill="EFD3D2"/>
            <w:vAlign w:val="center"/>
            <w:hideMark/>
          </w:tcPr>
          <w:p w14:paraId="51D3F77D"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6.2%</w:t>
            </w:r>
          </w:p>
        </w:tc>
        <w:tc>
          <w:tcPr>
            <w:tcW w:w="1106" w:type="dxa"/>
            <w:tcBorders>
              <w:top w:val="nil"/>
              <w:left w:val="single" w:sz="4" w:space="0" w:color="FFFFFF" w:themeColor="background1"/>
              <w:bottom w:val="nil"/>
              <w:right w:val="nil"/>
            </w:tcBorders>
            <w:shd w:val="clear" w:color="000000" w:fill="EFD3D2"/>
            <w:vAlign w:val="center"/>
            <w:hideMark/>
          </w:tcPr>
          <w:p w14:paraId="4BCA66A7"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7.2%</w:t>
            </w:r>
          </w:p>
        </w:tc>
        <w:tc>
          <w:tcPr>
            <w:tcW w:w="1106" w:type="dxa"/>
            <w:tcBorders>
              <w:top w:val="nil"/>
              <w:left w:val="nil"/>
              <w:bottom w:val="nil"/>
              <w:right w:val="single" w:sz="4" w:space="0" w:color="FFFFFF" w:themeColor="background1"/>
            </w:tcBorders>
            <w:shd w:val="clear" w:color="000000" w:fill="EFD3D2"/>
            <w:vAlign w:val="center"/>
            <w:hideMark/>
          </w:tcPr>
          <w:p w14:paraId="2ED0F241"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6.5%</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20EA7C6F"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36.7%</w:t>
            </w:r>
          </w:p>
        </w:tc>
        <w:tc>
          <w:tcPr>
            <w:tcW w:w="1106"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5EB4797A"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8.1%</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4CA51E47"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22.9%</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75876547"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15.7%</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66454CAD"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20.2%</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0B9B7AAB"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65.5%</w:t>
            </w:r>
          </w:p>
        </w:tc>
        <w:tc>
          <w:tcPr>
            <w:tcW w:w="1265" w:type="dxa"/>
            <w:tcBorders>
              <w:top w:val="nil"/>
              <w:left w:val="nil"/>
              <w:bottom w:val="nil"/>
              <w:right w:val="single" w:sz="4" w:space="0" w:color="auto"/>
            </w:tcBorders>
            <w:shd w:val="clear" w:color="000000" w:fill="808080"/>
            <w:vAlign w:val="center"/>
            <w:hideMark/>
          </w:tcPr>
          <w:p w14:paraId="14055614" w14:textId="6217431F" w:rsidR="00E45427" w:rsidRPr="000D3759" w:rsidRDefault="00E45427" w:rsidP="0069576C">
            <w:pPr>
              <w:spacing w:after="0"/>
              <w:jc w:val="center"/>
              <w:rPr>
                <w:rFonts w:cs="Arial"/>
                <w:color w:val="FFFFFF"/>
                <w:sz w:val="18"/>
                <w:szCs w:val="18"/>
              </w:rPr>
            </w:pPr>
            <w:r w:rsidRPr="000D3759">
              <w:rPr>
                <w:rFonts w:cs="Arial"/>
                <w:color w:val="FFFFFF"/>
                <w:sz w:val="18"/>
                <w:szCs w:val="18"/>
              </w:rPr>
              <w:t>10.</w:t>
            </w:r>
            <w:r>
              <w:rPr>
                <w:rFonts w:cs="Arial"/>
                <w:color w:val="FFFFFF"/>
                <w:sz w:val="18"/>
                <w:szCs w:val="18"/>
              </w:rPr>
              <w:t>3</w:t>
            </w:r>
            <w:r w:rsidRPr="000D3759">
              <w:rPr>
                <w:rFonts w:cs="Arial"/>
                <w:color w:val="FFFFFF"/>
                <w:sz w:val="18"/>
                <w:szCs w:val="18"/>
              </w:rPr>
              <w:t>%</w:t>
            </w:r>
          </w:p>
        </w:tc>
      </w:tr>
      <w:tr w:rsidR="00B51A57" w:rsidRPr="000D3759" w14:paraId="618E8E93" w14:textId="77777777" w:rsidTr="003B679E">
        <w:trPr>
          <w:trHeight w:val="287"/>
        </w:trPr>
        <w:tc>
          <w:tcPr>
            <w:tcW w:w="1136" w:type="dxa"/>
            <w:tcBorders>
              <w:top w:val="nil"/>
              <w:left w:val="single" w:sz="4" w:space="0" w:color="auto"/>
              <w:bottom w:val="nil"/>
              <w:right w:val="nil"/>
            </w:tcBorders>
            <w:shd w:val="clear" w:color="000000" w:fill="FFFFFF"/>
            <w:vAlign w:val="center"/>
            <w:hideMark/>
          </w:tcPr>
          <w:p w14:paraId="15F1E678" w14:textId="77777777" w:rsidR="00E45427" w:rsidRPr="000D3759" w:rsidRDefault="00E45427" w:rsidP="0069576C">
            <w:pPr>
              <w:spacing w:after="0"/>
              <w:jc w:val="left"/>
              <w:rPr>
                <w:rFonts w:cs="Arial"/>
                <w:b/>
                <w:bCs/>
                <w:color w:val="000000"/>
                <w:sz w:val="18"/>
                <w:szCs w:val="18"/>
              </w:rPr>
            </w:pPr>
            <w:r w:rsidRPr="000D3759">
              <w:rPr>
                <w:rFonts w:cs="Arial"/>
                <w:b/>
                <w:bCs/>
                <w:color w:val="000000"/>
                <w:sz w:val="18"/>
                <w:szCs w:val="18"/>
              </w:rPr>
              <w:t>2017-18</w:t>
            </w:r>
          </w:p>
        </w:tc>
        <w:tc>
          <w:tcPr>
            <w:tcW w:w="1110" w:type="dxa"/>
            <w:tcBorders>
              <w:top w:val="nil"/>
              <w:left w:val="nil"/>
              <w:bottom w:val="nil"/>
              <w:right w:val="single" w:sz="4" w:space="0" w:color="FFFFFF" w:themeColor="background1"/>
            </w:tcBorders>
            <w:shd w:val="clear" w:color="000000" w:fill="FFFFFF"/>
            <w:vAlign w:val="center"/>
            <w:hideMark/>
          </w:tcPr>
          <w:p w14:paraId="7C233400"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6.3%</w:t>
            </w:r>
          </w:p>
        </w:tc>
        <w:tc>
          <w:tcPr>
            <w:tcW w:w="1106" w:type="dxa"/>
            <w:tcBorders>
              <w:top w:val="nil"/>
              <w:left w:val="single" w:sz="4" w:space="0" w:color="FFFFFF" w:themeColor="background1"/>
              <w:bottom w:val="nil"/>
              <w:right w:val="nil"/>
            </w:tcBorders>
            <w:shd w:val="clear" w:color="000000" w:fill="FFFFFF"/>
            <w:vAlign w:val="center"/>
            <w:hideMark/>
          </w:tcPr>
          <w:p w14:paraId="6D8EDCDB"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8.1%</w:t>
            </w:r>
          </w:p>
        </w:tc>
        <w:tc>
          <w:tcPr>
            <w:tcW w:w="1106" w:type="dxa"/>
            <w:tcBorders>
              <w:top w:val="nil"/>
              <w:left w:val="nil"/>
              <w:bottom w:val="nil"/>
              <w:right w:val="single" w:sz="4" w:space="0" w:color="FFFFFF" w:themeColor="background1"/>
            </w:tcBorders>
            <w:shd w:val="clear" w:color="000000" w:fill="FFFFFF"/>
            <w:vAlign w:val="center"/>
            <w:hideMark/>
          </w:tcPr>
          <w:p w14:paraId="1CBBBD50"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6.8%</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695A745C"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33.5%</w:t>
            </w:r>
          </w:p>
        </w:tc>
        <w:tc>
          <w:tcPr>
            <w:tcW w:w="1106"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4E2EE681"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7.4%</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784DD114"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22.4%</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5C5AF3E2"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16.5%</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284B1C9D"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16.6%</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64958202"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68.7%</w:t>
            </w:r>
          </w:p>
        </w:tc>
        <w:tc>
          <w:tcPr>
            <w:tcW w:w="1265" w:type="dxa"/>
            <w:tcBorders>
              <w:top w:val="nil"/>
              <w:left w:val="nil"/>
              <w:bottom w:val="nil"/>
              <w:right w:val="single" w:sz="4" w:space="0" w:color="auto"/>
            </w:tcBorders>
            <w:shd w:val="clear" w:color="000000" w:fill="808080"/>
            <w:vAlign w:val="center"/>
            <w:hideMark/>
          </w:tcPr>
          <w:p w14:paraId="3D7F8E9A" w14:textId="3176EA55" w:rsidR="00E45427" w:rsidRPr="000D3759" w:rsidRDefault="00E45427" w:rsidP="0069576C">
            <w:pPr>
              <w:spacing w:after="0"/>
              <w:jc w:val="center"/>
              <w:rPr>
                <w:rFonts w:cs="Arial"/>
                <w:color w:val="FFFFFF"/>
                <w:sz w:val="18"/>
                <w:szCs w:val="18"/>
              </w:rPr>
            </w:pPr>
            <w:r w:rsidRPr="000D3759">
              <w:rPr>
                <w:rFonts w:cs="Arial"/>
                <w:color w:val="FFFFFF"/>
                <w:sz w:val="18"/>
                <w:szCs w:val="18"/>
              </w:rPr>
              <w:t>10.</w:t>
            </w:r>
            <w:r>
              <w:rPr>
                <w:rFonts w:cs="Arial"/>
                <w:color w:val="FFFFFF"/>
                <w:sz w:val="18"/>
                <w:szCs w:val="18"/>
              </w:rPr>
              <w:t>2</w:t>
            </w:r>
            <w:r w:rsidRPr="000D3759">
              <w:rPr>
                <w:rFonts w:cs="Arial"/>
                <w:color w:val="FFFFFF"/>
                <w:sz w:val="18"/>
                <w:szCs w:val="18"/>
              </w:rPr>
              <w:t>%</w:t>
            </w:r>
          </w:p>
        </w:tc>
      </w:tr>
      <w:tr w:rsidR="00B51A57" w:rsidRPr="000D3759" w14:paraId="6D8506FD" w14:textId="77777777" w:rsidTr="003B679E">
        <w:trPr>
          <w:trHeight w:val="287"/>
        </w:trPr>
        <w:tc>
          <w:tcPr>
            <w:tcW w:w="1136" w:type="dxa"/>
            <w:tcBorders>
              <w:top w:val="single" w:sz="4" w:space="0" w:color="FFFFFF"/>
              <w:left w:val="single" w:sz="4" w:space="0" w:color="auto"/>
              <w:bottom w:val="single" w:sz="4" w:space="0" w:color="FFFFFF"/>
              <w:right w:val="single" w:sz="4" w:space="0" w:color="FFFFFF"/>
            </w:tcBorders>
            <w:shd w:val="clear" w:color="000000" w:fill="EFD3D2"/>
            <w:noWrap/>
            <w:vAlign w:val="center"/>
            <w:hideMark/>
          </w:tcPr>
          <w:p w14:paraId="35007512" w14:textId="77777777" w:rsidR="00E45427" w:rsidRPr="000D3759" w:rsidRDefault="00E45427" w:rsidP="0069576C">
            <w:pPr>
              <w:spacing w:after="0"/>
              <w:jc w:val="left"/>
              <w:rPr>
                <w:rFonts w:cs="Arial"/>
                <w:b/>
                <w:bCs/>
                <w:color w:val="000000"/>
                <w:sz w:val="18"/>
                <w:szCs w:val="18"/>
              </w:rPr>
            </w:pPr>
            <w:r w:rsidRPr="000D3759">
              <w:rPr>
                <w:rFonts w:cs="Arial"/>
                <w:b/>
                <w:bCs/>
                <w:color w:val="000000"/>
                <w:sz w:val="18"/>
                <w:szCs w:val="18"/>
              </w:rPr>
              <w:t>2018-19</w:t>
            </w:r>
          </w:p>
        </w:tc>
        <w:tc>
          <w:tcPr>
            <w:tcW w:w="1110" w:type="dxa"/>
            <w:tcBorders>
              <w:top w:val="nil"/>
              <w:left w:val="nil"/>
              <w:bottom w:val="nil"/>
              <w:right w:val="single" w:sz="4" w:space="0" w:color="FFFFFF" w:themeColor="background1"/>
            </w:tcBorders>
            <w:shd w:val="clear" w:color="000000" w:fill="EFD3D2"/>
            <w:vAlign w:val="center"/>
            <w:hideMark/>
          </w:tcPr>
          <w:p w14:paraId="6D97FAF1"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5.7%</w:t>
            </w:r>
          </w:p>
        </w:tc>
        <w:tc>
          <w:tcPr>
            <w:tcW w:w="1106" w:type="dxa"/>
            <w:tcBorders>
              <w:top w:val="nil"/>
              <w:left w:val="single" w:sz="4" w:space="0" w:color="FFFFFF" w:themeColor="background1"/>
              <w:bottom w:val="nil"/>
              <w:right w:val="nil"/>
            </w:tcBorders>
            <w:shd w:val="clear" w:color="000000" w:fill="EFD3D2"/>
            <w:vAlign w:val="center"/>
            <w:hideMark/>
          </w:tcPr>
          <w:p w14:paraId="7A82F3B9"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8.7%</w:t>
            </w:r>
          </w:p>
        </w:tc>
        <w:tc>
          <w:tcPr>
            <w:tcW w:w="1106" w:type="dxa"/>
            <w:tcBorders>
              <w:top w:val="nil"/>
              <w:left w:val="nil"/>
              <w:bottom w:val="nil"/>
              <w:right w:val="single" w:sz="4" w:space="0" w:color="FFFFFF" w:themeColor="background1"/>
            </w:tcBorders>
            <w:shd w:val="clear" w:color="000000" w:fill="EFD3D2"/>
            <w:vAlign w:val="center"/>
            <w:hideMark/>
          </w:tcPr>
          <w:p w14:paraId="0CCCE9EF"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6.0%</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2C3734B1"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35.1%</w:t>
            </w:r>
          </w:p>
        </w:tc>
        <w:tc>
          <w:tcPr>
            <w:tcW w:w="1106"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5CED2CFC"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7.1%</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11E3B2B7"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22.2%</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674BD0EC"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21.1%</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629AE1A6"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16.4%</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6ACF7711"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73.6%</w:t>
            </w:r>
          </w:p>
        </w:tc>
        <w:tc>
          <w:tcPr>
            <w:tcW w:w="1265" w:type="dxa"/>
            <w:tcBorders>
              <w:top w:val="nil"/>
              <w:left w:val="nil"/>
              <w:bottom w:val="nil"/>
              <w:right w:val="single" w:sz="4" w:space="0" w:color="auto"/>
            </w:tcBorders>
            <w:shd w:val="clear" w:color="000000" w:fill="808080"/>
            <w:vAlign w:val="center"/>
            <w:hideMark/>
          </w:tcPr>
          <w:p w14:paraId="0D04001D" w14:textId="3A089233" w:rsidR="00E45427" w:rsidRPr="000D3759" w:rsidRDefault="00E45427" w:rsidP="0069576C">
            <w:pPr>
              <w:spacing w:after="0"/>
              <w:jc w:val="center"/>
              <w:rPr>
                <w:rFonts w:cs="Arial"/>
                <w:color w:val="FFFFFF"/>
                <w:sz w:val="18"/>
                <w:szCs w:val="18"/>
              </w:rPr>
            </w:pPr>
            <w:r w:rsidRPr="000D3759">
              <w:rPr>
                <w:rFonts w:cs="Arial"/>
                <w:color w:val="FFFFFF"/>
                <w:sz w:val="18"/>
                <w:szCs w:val="18"/>
              </w:rPr>
              <w:t>10.</w:t>
            </w:r>
            <w:r>
              <w:rPr>
                <w:rFonts w:cs="Arial"/>
                <w:color w:val="FFFFFF"/>
                <w:sz w:val="18"/>
                <w:szCs w:val="18"/>
              </w:rPr>
              <w:t>1</w:t>
            </w:r>
            <w:r w:rsidRPr="000D3759">
              <w:rPr>
                <w:rFonts w:cs="Arial"/>
                <w:color w:val="FFFFFF"/>
                <w:sz w:val="18"/>
                <w:szCs w:val="18"/>
              </w:rPr>
              <w:t>%</w:t>
            </w:r>
          </w:p>
        </w:tc>
      </w:tr>
      <w:tr w:rsidR="00B51A57" w:rsidRPr="000D3759" w14:paraId="19CC3627" w14:textId="77777777" w:rsidTr="003B679E">
        <w:trPr>
          <w:trHeight w:val="287"/>
        </w:trPr>
        <w:tc>
          <w:tcPr>
            <w:tcW w:w="1136" w:type="dxa"/>
            <w:tcBorders>
              <w:top w:val="nil"/>
              <w:left w:val="single" w:sz="4" w:space="0" w:color="auto"/>
              <w:bottom w:val="nil"/>
              <w:right w:val="nil"/>
            </w:tcBorders>
            <w:shd w:val="clear" w:color="000000" w:fill="FFFFFF"/>
            <w:vAlign w:val="center"/>
            <w:hideMark/>
          </w:tcPr>
          <w:p w14:paraId="236A096E" w14:textId="77777777" w:rsidR="00E45427" w:rsidRPr="000D3759" w:rsidRDefault="00E45427" w:rsidP="0069576C">
            <w:pPr>
              <w:spacing w:after="0"/>
              <w:jc w:val="left"/>
              <w:rPr>
                <w:rFonts w:cs="Arial"/>
                <w:b/>
                <w:bCs/>
                <w:color w:val="000000"/>
                <w:sz w:val="18"/>
                <w:szCs w:val="18"/>
              </w:rPr>
            </w:pPr>
            <w:r w:rsidRPr="000D3759">
              <w:rPr>
                <w:rFonts w:cs="Arial"/>
                <w:b/>
                <w:bCs/>
                <w:color w:val="000000"/>
                <w:sz w:val="18"/>
                <w:szCs w:val="18"/>
              </w:rPr>
              <w:t>2019-20</w:t>
            </w:r>
          </w:p>
        </w:tc>
        <w:tc>
          <w:tcPr>
            <w:tcW w:w="1110" w:type="dxa"/>
            <w:tcBorders>
              <w:top w:val="nil"/>
              <w:left w:val="nil"/>
              <w:bottom w:val="nil"/>
              <w:right w:val="single" w:sz="4" w:space="0" w:color="FFFFFF" w:themeColor="background1"/>
            </w:tcBorders>
            <w:shd w:val="clear" w:color="000000" w:fill="FFFFFF"/>
            <w:vAlign w:val="center"/>
            <w:hideMark/>
          </w:tcPr>
          <w:p w14:paraId="35F87BA1"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5.3%</w:t>
            </w:r>
          </w:p>
        </w:tc>
        <w:tc>
          <w:tcPr>
            <w:tcW w:w="1106" w:type="dxa"/>
            <w:tcBorders>
              <w:top w:val="nil"/>
              <w:left w:val="single" w:sz="4" w:space="0" w:color="FFFFFF" w:themeColor="background1"/>
              <w:bottom w:val="nil"/>
              <w:right w:val="nil"/>
            </w:tcBorders>
            <w:shd w:val="clear" w:color="000000" w:fill="FFFFFF"/>
            <w:vAlign w:val="center"/>
            <w:hideMark/>
          </w:tcPr>
          <w:p w14:paraId="18ABB1F2"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8.2%</w:t>
            </w:r>
          </w:p>
        </w:tc>
        <w:tc>
          <w:tcPr>
            <w:tcW w:w="1106" w:type="dxa"/>
            <w:tcBorders>
              <w:top w:val="nil"/>
              <w:left w:val="nil"/>
              <w:bottom w:val="nil"/>
              <w:right w:val="single" w:sz="4" w:space="0" w:color="FFFFFF" w:themeColor="background1"/>
            </w:tcBorders>
            <w:shd w:val="clear" w:color="000000" w:fill="FFFFFF"/>
            <w:vAlign w:val="center"/>
            <w:hideMark/>
          </w:tcPr>
          <w:p w14:paraId="0DD65E52"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6.0%</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73ED1540"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34.5%</w:t>
            </w:r>
          </w:p>
        </w:tc>
        <w:tc>
          <w:tcPr>
            <w:tcW w:w="1106"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6955318F"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6.9%</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045B17CA"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22.7%</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35AC55E2"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23.1%</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2F678D1A"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18.1%</w:t>
            </w:r>
          </w:p>
        </w:tc>
        <w:tc>
          <w:tcPr>
            <w:tcW w:w="1120"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329CFBA8"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74.2%</w:t>
            </w:r>
          </w:p>
        </w:tc>
        <w:tc>
          <w:tcPr>
            <w:tcW w:w="1265" w:type="dxa"/>
            <w:tcBorders>
              <w:top w:val="nil"/>
              <w:left w:val="nil"/>
              <w:bottom w:val="nil"/>
              <w:right w:val="single" w:sz="4" w:space="0" w:color="auto"/>
            </w:tcBorders>
            <w:shd w:val="clear" w:color="000000" w:fill="808080"/>
            <w:vAlign w:val="center"/>
            <w:hideMark/>
          </w:tcPr>
          <w:p w14:paraId="04390046" w14:textId="75DD87C4" w:rsidR="00E45427" w:rsidRPr="000D3759" w:rsidRDefault="00E45427" w:rsidP="0069576C">
            <w:pPr>
              <w:spacing w:after="0"/>
              <w:jc w:val="center"/>
              <w:rPr>
                <w:rFonts w:cs="Arial"/>
                <w:color w:val="FFFFFF"/>
                <w:sz w:val="18"/>
                <w:szCs w:val="18"/>
              </w:rPr>
            </w:pPr>
            <w:r w:rsidRPr="000D3759">
              <w:rPr>
                <w:rFonts w:cs="Arial"/>
                <w:color w:val="FFFFFF"/>
                <w:sz w:val="18"/>
                <w:szCs w:val="18"/>
              </w:rPr>
              <w:t>9.</w:t>
            </w:r>
            <w:r>
              <w:rPr>
                <w:rFonts w:cs="Arial"/>
                <w:color w:val="FFFFFF"/>
                <w:sz w:val="18"/>
                <w:szCs w:val="18"/>
              </w:rPr>
              <w:t>7</w:t>
            </w:r>
            <w:r w:rsidRPr="000D3759">
              <w:rPr>
                <w:rFonts w:cs="Arial"/>
                <w:color w:val="FFFFFF"/>
                <w:sz w:val="18"/>
                <w:szCs w:val="18"/>
              </w:rPr>
              <w:t>%</w:t>
            </w:r>
          </w:p>
        </w:tc>
      </w:tr>
      <w:tr w:rsidR="00B51A57" w:rsidRPr="000D3759" w14:paraId="779D10D0" w14:textId="77777777" w:rsidTr="003B679E">
        <w:trPr>
          <w:trHeight w:val="287"/>
        </w:trPr>
        <w:tc>
          <w:tcPr>
            <w:tcW w:w="1136" w:type="dxa"/>
            <w:tcBorders>
              <w:top w:val="single" w:sz="4" w:space="0" w:color="FFFFFF"/>
              <w:left w:val="single" w:sz="4" w:space="0" w:color="auto"/>
              <w:bottom w:val="single" w:sz="4" w:space="0" w:color="FFFFFF"/>
              <w:right w:val="single" w:sz="4" w:space="0" w:color="FFFFFF"/>
            </w:tcBorders>
            <w:shd w:val="clear" w:color="000000" w:fill="EFD3D2"/>
            <w:noWrap/>
            <w:vAlign w:val="center"/>
            <w:hideMark/>
          </w:tcPr>
          <w:p w14:paraId="4A463CE6" w14:textId="77777777" w:rsidR="00E45427" w:rsidRPr="000D3759" w:rsidRDefault="00E45427" w:rsidP="0069576C">
            <w:pPr>
              <w:spacing w:after="0"/>
              <w:jc w:val="left"/>
              <w:rPr>
                <w:rFonts w:cs="Arial"/>
                <w:b/>
                <w:bCs/>
                <w:color w:val="000000"/>
                <w:sz w:val="18"/>
                <w:szCs w:val="18"/>
              </w:rPr>
            </w:pPr>
            <w:r w:rsidRPr="000D3759">
              <w:rPr>
                <w:rFonts w:cs="Arial"/>
                <w:b/>
                <w:bCs/>
                <w:color w:val="000000"/>
                <w:sz w:val="18"/>
                <w:szCs w:val="18"/>
              </w:rPr>
              <w:t>2020-21</w:t>
            </w:r>
          </w:p>
        </w:tc>
        <w:tc>
          <w:tcPr>
            <w:tcW w:w="1110" w:type="dxa"/>
            <w:tcBorders>
              <w:top w:val="nil"/>
              <w:left w:val="nil"/>
              <w:bottom w:val="nil"/>
              <w:right w:val="single" w:sz="4" w:space="0" w:color="FFFFFF" w:themeColor="background1"/>
            </w:tcBorders>
            <w:shd w:val="clear" w:color="000000" w:fill="EFD3D2"/>
            <w:vAlign w:val="center"/>
            <w:hideMark/>
          </w:tcPr>
          <w:p w14:paraId="039B2F61"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5.4%</w:t>
            </w:r>
          </w:p>
        </w:tc>
        <w:tc>
          <w:tcPr>
            <w:tcW w:w="1106" w:type="dxa"/>
            <w:tcBorders>
              <w:top w:val="nil"/>
              <w:left w:val="single" w:sz="4" w:space="0" w:color="FFFFFF" w:themeColor="background1"/>
              <w:bottom w:val="nil"/>
              <w:right w:val="nil"/>
            </w:tcBorders>
            <w:shd w:val="clear" w:color="000000" w:fill="EFD3D2"/>
            <w:vAlign w:val="center"/>
            <w:hideMark/>
          </w:tcPr>
          <w:p w14:paraId="73755E52"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6.1%</w:t>
            </w:r>
          </w:p>
        </w:tc>
        <w:tc>
          <w:tcPr>
            <w:tcW w:w="1106" w:type="dxa"/>
            <w:tcBorders>
              <w:top w:val="nil"/>
              <w:left w:val="nil"/>
              <w:bottom w:val="nil"/>
              <w:right w:val="single" w:sz="4" w:space="0" w:color="FFFFFF" w:themeColor="background1"/>
            </w:tcBorders>
            <w:shd w:val="clear" w:color="000000" w:fill="EFD3D2"/>
            <w:vAlign w:val="center"/>
            <w:hideMark/>
          </w:tcPr>
          <w:p w14:paraId="78B077EE"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5.7%</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24F5E750"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36.8%</w:t>
            </w:r>
          </w:p>
        </w:tc>
        <w:tc>
          <w:tcPr>
            <w:tcW w:w="1106"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08B7B9AA"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7.5%</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0B5A5AD2"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21.2%</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245AD646"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18.5%</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4BDB06CF"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22.9%</w:t>
            </w:r>
          </w:p>
        </w:tc>
        <w:tc>
          <w:tcPr>
            <w:tcW w:w="1120"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2CA102B3"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76.8%</w:t>
            </w:r>
          </w:p>
        </w:tc>
        <w:tc>
          <w:tcPr>
            <w:tcW w:w="1265" w:type="dxa"/>
            <w:tcBorders>
              <w:top w:val="nil"/>
              <w:left w:val="nil"/>
              <w:bottom w:val="nil"/>
              <w:right w:val="single" w:sz="4" w:space="0" w:color="auto"/>
            </w:tcBorders>
            <w:shd w:val="clear" w:color="000000" w:fill="808080"/>
            <w:vAlign w:val="center"/>
            <w:hideMark/>
          </w:tcPr>
          <w:p w14:paraId="416916D0" w14:textId="77777777" w:rsidR="00E45427" w:rsidRPr="000D3759" w:rsidRDefault="00E45427" w:rsidP="0069576C">
            <w:pPr>
              <w:spacing w:after="0"/>
              <w:jc w:val="center"/>
              <w:rPr>
                <w:rFonts w:cs="Arial"/>
                <w:color w:val="FFFFFF"/>
                <w:sz w:val="18"/>
                <w:szCs w:val="18"/>
              </w:rPr>
            </w:pPr>
            <w:r w:rsidRPr="000D3759">
              <w:rPr>
                <w:rFonts w:cs="Arial"/>
                <w:color w:val="FFFFFF"/>
                <w:sz w:val="18"/>
                <w:szCs w:val="18"/>
              </w:rPr>
              <w:t>9.5%</w:t>
            </w:r>
          </w:p>
        </w:tc>
      </w:tr>
      <w:tr w:rsidR="00B51A57" w:rsidRPr="000D3759" w14:paraId="62249C5F" w14:textId="77777777" w:rsidTr="003B679E">
        <w:trPr>
          <w:trHeight w:val="299"/>
        </w:trPr>
        <w:tc>
          <w:tcPr>
            <w:tcW w:w="1136" w:type="dxa"/>
            <w:tcBorders>
              <w:top w:val="nil"/>
              <w:left w:val="single" w:sz="4" w:space="0" w:color="auto"/>
              <w:bottom w:val="single" w:sz="4" w:space="0" w:color="auto"/>
              <w:right w:val="nil"/>
            </w:tcBorders>
            <w:shd w:val="clear" w:color="000000" w:fill="FFFFFF"/>
            <w:vAlign w:val="center"/>
            <w:hideMark/>
          </w:tcPr>
          <w:p w14:paraId="5F9AE0F0" w14:textId="77777777" w:rsidR="00E45427" w:rsidRPr="000D3759" w:rsidRDefault="00E45427" w:rsidP="0069576C">
            <w:pPr>
              <w:spacing w:after="0"/>
              <w:jc w:val="left"/>
              <w:rPr>
                <w:rFonts w:cs="Arial"/>
                <w:b/>
                <w:bCs/>
                <w:color w:val="000000"/>
                <w:sz w:val="18"/>
                <w:szCs w:val="18"/>
              </w:rPr>
            </w:pPr>
            <w:r w:rsidRPr="000D3759">
              <w:rPr>
                <w:rFonts w:cs="Arial"/>
                <w:b/>
                <w:bCs/>
                <w:color w:val="000000"/>
                <w:sz w:val="18"/>
                <w:szCs w:val="18"/>
              </w:rPr>
              <w:t>2021-22p</w:t>
            </w:r>
          </w:p>
        </w:tc>
        <w:tc>
          <w:tcPr>
            <w:tcW w:w="1110" w:type="dxa"/>
            <w:tcBorders>
              <w:top w:val="nil"/>
              <w:left w:val="nil"/>
              <w:bottom w:val="single" w:sz="4" w:space="0" w:color="auto"/>
              <w:right w:val="single" w:sz="4" w:space="0" w:color="FFFFFF" w:themeColor="background1"/>
            </w:tcBorders>
            <w:shd w:val="clear" w:color="auto" w:fill="auto"/>
            <w:vAlign w:val="center"/>
            <w:hideMark/>
          </w:tcPr>
          <w:p w14:paraId="53B44E3F"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8.0%</w:t>
            </w:r>
          </w:p>
        </w:tc>
        <w:tc>
          <w:tcPr>
            <w:tcW w:w="1106" w:type="dxa"/>
            <w:tcBorders>
              <w:top w:val="nil"/>
              <w:left w:val="single" w:sz="4" w:space="0" w:color="FFFFFF" w:themeColor="background1"/>
              <w:bottom w:val="single" w:sz="4" w:space="0" w:color="auto"/>
              <w:right w:val="nil"/>
            </w:tcBorders>
            <w:shd w:val="clear" w:color="auto" w:fill="auto"/>
            <w:vAlign w:val="center"/>
            <w:hideMark/>
          </w:tcPr>
          <w:p w14:paraId="472AB8C7"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5.5%</w:t>
            </w:r>
          </w:p>
        </w:tc>
        <w:tc>
          <w:tcPr>
            <w:tcW w:w="1106" w:type="dxa"/>
            <w:tcBorders>
              <w:top w:val="nil"/>
              <w:left w:val="nil"/>
              <w:bottom w:val="single" w:sz="4" w:space="0" w:color="auto"/>
              <w:right w:val="single" w:sz="4" w:space="0" w:color="FFFFFF" w:themeColor="background1"/>
            </w:tcBorders>
            <w:shd w:val="clear" w:color="auto" w:fill="auto"/>
            <w:vAlign w:val="center"/>
            <w:hideMark/>
          </w:tcPr>
          <w:p w14:paraId="4CFF87BA"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5.8%</w:t>
            </w:r>
          </w:p>
        </w:tc>
        <w:tc>
          <w:tcPr>
            <w:tcW w:w="1120"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0206D7D2"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32.6%</w:t>
            </w:r>
          </w:p>
        </w:tc>
        <w:tc>
          <w:tcPr>
            <w:tcW w:w="1106"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5B924052"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7.6%</w:t>
            </w:r>
          </w:p>
        </w:tc>
        <w:tc>
          <w:tcPr>
            <w:tcW w:w="1120"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14BA6A01"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23.2%</w:t>
            </w:r>
          </w:p>
        </w:tc>
        <w:tc>
          <w:tcPr>
            <w:tcW w:w="1120"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4E81552B"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20.5%</w:t>
            </w:r>
          </w:p>
        </w:tc>
        <w:tc>
          <w:tcPr>
            <w:tcW w:w="1120"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52AD4449"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22.0%</w:t>
            </w:r>
          </w:p>
        </w:tc>
        <w:tc>
          <w:tcPr>
            <w:tcW w:w="1120"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5C219369" w14:textId="77777777" w:rsidR="00E45427" w:rsidRPr="000D3759" w:rsidRDefault="00E45427" w:rsidP="0069576C">
            <w:pPr>
              <w:spacing w:after="0"/>
              <w:jc w:val="center"/>
              <w:rPr>
                <w:rFonts w:cs="Arial"/>
                <w:color w:val="000000"/>
                <w:sz w:val="18"/>
                <w:szCs w:val="18"/>
              </w:rPr>
            </w:pPr>
            <w:r w:rsidRPr="000D3759">
              <w:rPr>
                <w:rFonts w:cs="Arial"/>
                <w:color w:val="000000"/>
                <w:sz w:val="18"/>
                <w:szCs w:val="18"/>
              </w:rPr>
              <w:t>83.8%</w:t>
            </w:r>
          </w:p>
        </w:tc>
        <w:tc>
          <w:tcPr>
            <w:tcW w:w="1265" w:type="dxa"/>
            <w:tcBorders>
              <w:top w:val="nil"/>
              <w:left w:val="nil"/>
              <w:bottom w:val="single" w:sz="4" w:space="0" w:color="auto"/>
              <w:right w:val="single" w:sz="4" w:space="0" w:color="auto"/>
            </w:tcBorders>
            <w:shd w:val="clear" w:color="000000" w:fill="808080"/>
            <w:vAlign w:val="center"/>
            <w:hideMark/>
          </w:tcPr>
          <w:p w14:paraId="0458EA63" w14:textId="4EAE50DB" w:rsidR="00E45427" w:rsidRPr="000D3759" w:rsidRDefault="00E45427" w:rsidP="0069576C">
            <w:pPr>
              <w:spacing w:after="0"/>
              <w:jc w:val="center"/>
              <w:rPr>
                <w:rFonts w:cs="Arial"/>
                <w:color w:val="FFFFFF"/>
                <w:sz w:val="18"/>
                <w:szCs w:val="18"/>
              </w:rPr>
            </w:pPr>
            <w:r w:rsidRPr="000D3759">
              <w:rPr>
                <w:rFonts w:cs="Arial"/>
                <w:color w:val="FFFFFF"/>
                <w:sz w:val="18"/>
                <w:szCs w:val="18"/>
              </w:rPr>
              <w:t>10.</w:t>
            </w:r>
            <w:r>
              <w:rPr>
                <w:rFonts w:cs="Arial"/>
                <w:color w:val="FFFFFF"/>
                <w:sz w:val="18"/>
                <w:szCs w:val="18"/>
              </w:rPr>
              <w:t>0</w:t>
            </w:r>
            <w:r w:rsidRPr="000D3759">
              <w:rPr>
                <w:rFonts w:cs="Arial"/>
                <w:color w:val="FFFFFF"/>
                <w:sz w:val="18"/>
                <w:szCs w:val="18"/>
              </w:rPr>
              <w:t>%</w:t>
            </w:r>
          </w:p>
        </w:tc>
      </w:tr>
    </w:tbl>
    <w:p w14:paraId="28B2F84A" w14:textId="77777777" w:rsidR="0069576C" w:rsidRPr="0069576C" w:rsidRDefault="0069576C" w:rsidP="0069576C">
      <w:pPr>
        <w:rPr>
          <w:rFonts w:eastAsiaTheme="majorEastAsia"/>
          <w:lang w:eastAsia="en-US"/>
        </w:rPr>
      </w:pPr>
    </w:p>
    <w:bookmarkEnd w:id="30"/>
    <w:p w14:paraId="33C19103" w14:textId="77777777" w:rsidR="00E45427" w:rsidRDefault="00E45427" w:rsidP="002122C3">
      <w:pPr>
        <w:rPr>
          <w:rFonts w:eastAsiaTheme="minorHAnsi" w:cs="Arial"/>
          <w:color w:val="000000"/>
          <w:sz w:val="16"/>
          <w:szCs w:val="16"/>
          <w:vertAlign w:val="superscript"/>
          <w:lang w:val="en-US" w:eastAsia="en-US"/>
        </w:rPr>
      </w:pPr>
    </w:p>
    <w:p w14:paraId="32D65B0D" w14:textId="77777777" w:rsidR="00E45427" w:rsidRDefault="00E45427" w:rsidP="002122C3">
      <w:pPr>
        <w:rPr>
          <w:rFonts w:eastAsiaTheme="minorHAnsi" w:cs="Arial"/>
          <w:color w:val="000000"/>
          <w:sz w:val="16"/>
          <w:szCs w:val="16"/>
          <w:vertAlign w:val="superscript"/>
          <w:lang w:val="en-US" w:eastAsia="en-US"/>
        </w:rPr>
      </w:pPr>
    </w:p>
    <w:p w14:paraId="018A633B" w14:textId="77777777" w:rsidR="00E45427" w:rsidRDefault="00E45427" w:rsidP="002122C3">
      <w:pPr>
        <w:rPr>
          <w:rFonts w:eastAsiaTheme="minorHAnsi" w:cs="Arial"/>
          <w:color w:val="000000"/>
          <w:sz w:val="16"/>
          <w:szCs w:val="16"/>
          <w:vertAlign w:val="superscript"/>
          <w:lang w:val="en-US" w:eastAsia="en-US"/>
        </w:rPr>
      </w:pPr>
    </w:p>
    <w:p w14:paraId="32D7DDF5" w14:textId="77777777" w:rsidR="00E45427" w:rsidRDefault="00E45427" w:rsidP="002122C3">
      <w:pPr>
        <w:rPr>
          <w:rFonts w:eastAsiaTheme="minorHAnsi" w:cs="Arial"/>
          <w:color w:val="000000"/>
          <w:sz w:val="16"/>
          <w:szCs w:val="16"/>
          <w:vertAlign w:val="superscript"/>
          <w:lang w:val="en-US" w:eastAsia="en-US"/>
        </w:rPr>
      </w:pPr>
    </w:p>
    <w:p w14:paraId="1997AD10" w14:textId="77777777" w:rsidR="00E45427" w:rsidRDefault="00E45427" w:rsidP="002122C3">
      <w:pPr>
        <w:rPr>
          <w:rFonts w:eastAsiaTheme="minorHAnsi" w:cs="Arial"/>
          <w:color w:val="000000"/>
          <w:sz w:val="16"/>
          <w:szCs w:val="16"/>
          <w:vertAlign w:val="superscript"/>
          <w:lang w:val="en-US" w:eastAsia="en-US"/>
        </w:rPr>
      </w:pPr>
    </w:p>
    <w:p w14:paraId="0669A3D5" w14:textId="77777777" w:rsidR="00E45427" w:rsidRDefault="00E45427" w:rsidP="002122C3">
      <w:pPr>
        <w:rPr>
          <w:rFonts w:eastAsiaTheme="minorHAnsi" w:cs="Arial"/>
          <w:color w:val="000000"/>
          <w:sz w:val="16"/>
          <w:szCs w:val="16"/>
          <w:vertAlign w:val="superscript"/>
          <w:lang w:val="en-US" w:eastAsia="en-US"/>
        </w:rPr>
      </w:pPr>
    </w:p>
    <w:p w14:paraId="2518A8D3" w14:textId="77777777" w:rsidR="00E45427" w:rsidRDefault="00E45427" w:rsidP="002122C3">
      <w:pPr>
        <w:rPr>
          <w:rFonts w:eastAsiaTheme="minorHAnsi" w:cs="Arial"/>
          <w:color w:val="000000"/>
          <w:sz w:val="16"/>
          <w:szCs w:val="16"/>
          <w:vertAlign w:val="superscript"/>
          <w:lang w:val="en-US" w:eastAsia="en-US"/>
        </w:rPr>
      </w:pPr>
    </w:p>
    <w:p w14:paraId="59BA129C" w14:textId="06B33C30" w:rsidR="002122C3" w:rsidRDefault="0069576C" w:rsidP="002122C3">
      <w:pPr>
        <w:rPr>
          <w:rFonts w:eastAsiaTheme="minorHAnsi" w:cs="Arial"/>
          <w:color w:val="000000"/>
          <w:sz w:val="16"/>
          <w:szCs w:val="16"/>
          <w:lang w:val="en-US" w:eastAsia="en-US"/>
        </w:rPr>
      </w:pPr>
      <w:r>
        <w:rPr>
          <w:rFonts w:eastAsiaTheme="minorHAnsi" w:cs="Arial"/>
          <w:color w:val="000000"/>
          <w:sz w:val="16"/>
          <w:szCs w:val="16"/>
          <w:vertAlign w:val="superscript"/>
          <w:lang w:val="en-US" w:eastAsia="en-US"/>
        </w:rPr>
        <w:t xml:space="preserve">(a) </w:t>
      </w:r>
      <w:r w:rsidR="008F7200">
        <w:rPr>
          <w:rFonts w:eastAsiaTheme="minorHAnsi" w:cs="Arial"/>
          <w:color w:val="000000"/>
          <w:sz w:val="16"/>
          <w:szCs w:val="16"/>
          <w:vertAlign w:val="superscript"/>
          <w:lang w:val="en-US" w:eastAsia="en-US"/>
        </w:rPr>
        <w:t xml:space="preserve"> </w:t>
      </w:r>
      <w:r w:rsidR="002122C3" w:rsidRPr="00B60449">
        <w:rPr>
          <w:rFonts w:eastAsiaTheme="minorHAnsi" w:cs="Arial"/>
          <w:color w:val="000000"/>
          <w:sz w:val="16"/>
          <w:szCs w:val="16"/>
          <w:lang w:val="en-US" w:eastAsia="en-US"/>
        </w:rPr>
        <w:t>Tasmanian self-insured claims also include state government agencies</w:t>
      </w:r>
    </w:p>
    <w:p w14:paraId="137402AD" w14:textId="2E548E45" w:rsidR="008851BF" w:rsidRDefault="0069576C" w:rsidP="008851BF">
      <w:pPr>
        <w:rPr>
          <w:rFonts w:eastAsiaTheme="minorHAnsi" w:cs="Arial"/>
          <w:color w:val="000000"/>
          <w:sz w:val="16"/>
          <w:szCs w:val="16"/>
          <w:lang w:val="en-US" w:eastAsia="en-US"/>
        </w:rPr>
      </w:pPr>
      <w:r>
        <w:rPr>
          <w:rFonts w:eastAsiaTheme="minorHAnsi" w:cs="Arial"/>
          <w:color w:val="000000"/>
          <w:sz w:val="16"/>
          <w:szCs w:val="16"/>
          <w:vertAlign w:val="superscript"/>
          <w:lang w:val="en-US" w:eastAsia="en-US"/>
        </w:rPr>
        <w:t>(b)</w:t>
      </w:r>
      <w:r w:rsidR="008851BF" w:rsidRPr="00F83FBC">
        <w:t xml:space="preserve"> </w:t>
      </w:r>
      <w:r w:rsidR="008851BF" w:rsidRPr="00F83FBC">
        <w:rPr>
          <w:rFonts w:eastAsiaTheme="minorHAnsi" w:cs="Arial"/>
          <w:color w:val="000000"/>
          <w:sz w:val="16"/>
          <w:szCs w:val="16"/>
          <w:lang w:val="en-US" w:eastAsia="en-US"/>
        </w:rPr>
        <w:t xml:space="preserve">Australian Capital Territory self-insured claims include </w:t>
      </w:r>
      <w:r w:rsidR="000D785F">
        <w:rPr>
          <w:rFonts w:eastAsiaTheme="minorHAnsi" w:cs="Arial"/>
          <w:color w:val="000000"/>
          <w:sz w:val="16"/>
          <w:szCs w:val="16"/>
          <w:lang w:val="en-US" w:eastAsia="en-US"/>
        </w:rPr>
        <w:t xml:space="preserve">data from both </w:t>
      </w:r>
      <w:r w:rsidR="008851BF" w:rsidRPr="00F83FBC">
        <w:rPr>
          <w:rFonts w:eastAsiaTheme="minorHAnsi" w:cs="Arial"/>
          <w:color w:val="000000"/>
          <w:sz w:val="16"/>
          <w:szCs w:val="16"/>
          <w:lang w:val="en-US" w:eastAsia="en-US"/>
        </w:rPr>
        <w:t>the Australian Capital Territory Government</w:t>
      </w:r>
      <w:r w:rsidR="000D785F">
        <w:rPr>
          <w:rFonts w:eastAsiaTheme="minorHAnsi" w:cs="Arial"/>
          <w:color w:val="000000"/>
          <w:sz w:val="16"/>
          <w:szCs w:val="16"/>
          <w:lang w:val="en-US" w:eastAsia="en-US"/>
        </w:rPr>
        <w:t xml:space="preserve"> sector and </w:t>
      </w:r>
      <w:r w:rsidR="000D785F" w:rsidRPr="00F83FBC">
        <w:rPr>
          <w:rFonts w:eastAsiaTheme="minorHAnsi" w:cs="Arial"/>
          <w:color w:val="000000"/>
          <w:sz w:val="16"/>
          <w:szCs w:val="16"/>
          <w:lang w:val="en-US" w:eastAsia="en-US"/>
        </w:rPr>
        <w:t xml:space="preserve">Australian Capital Territory </w:t>
      </w:r>
      <w:r w:rsidR="000D785F">
        <w:rPr>
          <w:rFonts w:eastAsiaTheme="minorHAnsi" w:cs="Arial"/>
          <w:color w:val="000000"/>
          <w:sz w:val="16"/>
          <w:szCs w:val="16"/>
          <w:lang w:val="en-US" w:eastAsia="en-US"/>
        </w:rPr>
        <w:t>Private sector</w:t>
      </w:r>
      <w:r w:rsidR="008851BF" w:rsidRPr="00F83FBC">
        <w:rPr>
          <w:rFonts w:eastAsiaTheme="minorHAnsi" w:cs="Arial"/>
          <w:color w:val="000000"/>
          <w:sz w:val="16"/>
          <w:szCs w:val="16"/>
          <w:lang w:val="en-US" w:eastAsia="en-US"/>
        </w:rPr>
        <w:t>.</w:t>
      </w:r>
    </w:p>
    <w:p w14:paraId="6497506E" w14:textId="18ECADA1" w:rsidR="008851BF" w:rsidRDefault="0069576C" w:rsidP="008851BF">
      <w:pPr>
        <w:rPr>
          <w:rFonts w:eastAsiaTheme="minorHAnsi" w:cs="Arial"/>
          <w:color w:val="000000"/>
          <w:sz w:val="16"/>
          <w:szCs w:val="16"/>
          <w:lang w:val="en-US" w:eastAsia="en-US"/>
        </w:rPr>
      </w:pPr>
      <w:r>
        <w:rPr>
          <w:rFonts w:eastAsiaTheme="minorHAnsi" w:cs="Arial"/>
          <w:color w:val="000000"/>
          <w:sz w:val="16"/>
          <w:szCs w:val="16"/>
          <w:vertAlign w:val="superscript"/>
          <w:lang w:val="en-US" w:eastAsia="en-US"/>
        </w:rPr>
        <w:t>(c)</w:t>
      </w:r>
      <w:r w:rsidR="008851BF">
        <w:rPr>
          <w:rFonts w:eastAsiaTheme="minorHAnsi" w:cs="Arial"/>
          <w:color w:val="000000"/>
          <w:sz w:val="16"/>
          <w:szCs w:val="16"/>
          <w:lang w:val="en-US" w:eastAsia="en-US"/>
        </w:rPr>
        <w:t xml:space="preserve"> The Australian total excludes Seacare </w:t>
      </w:r>
      <w:r w:rsidR="008851BF" w:rsidRPr="00F60444">
        <w:rPr>
          <w:rFonts w:eastAsiaTheme="minorHAnsi" w:cs="Arial"/>
          <w:color w:val="000000"/>
          <w:sz w:val="16"/>
          <w:szCs w:val="16"/>
          <w:lang w:val="en-US" w:eastAsia="en-US"/>
        </w:rPr>
        <w:t>self-insured</w:t>
      </w:r>
      <w:r w:rsidR="008851BF">
        <w:rPr>
          <w:rFonts w:eastAsiaTheme="minorHAnsi" w:cs="Arial"/>
          <w:color w:val="000000"/>
          <w:sz w:val="16"/>
          <w:szCs w:val="16"/>
          <w:lang w:val="en-US" w:eastAsia="en-US"/>
        </w:rPr>
        <w:t xml:space="preserve"> claims.</w:t>
      </w:r>
    </w:p>
    <w:p w14:paraId="4E2837E9" w14:textId="77777777" w:rsidR="004E616F" w:rsidRDefault="004E616F">
      <w:pPr>
        <w:spacing w:after="200" w:line="276" w:lineRule="auto"/>
        <w:jc w:val="left"/>
        <w:rPr>
          <w:rFonts w:eastAsiaTheme="minorHAnsi" w:cs="Arial"/>
          <w:color w:val="000000"/>
          <w:sz w:val="16"/>
          <w:szCs w:val="16"/>
          <w:lang w:val="en-US" w:eastAsia="en-US"/>
        </w:rPr>
        <w:sectPr w:rsidR="004E616F" w:rsidSect="00B02854">
          <w:pgSz w:w="16838" w:h="11906" w:orient="landscape"/>
          <w:pgMar w:top="1276" w:right="1440" w:bottom="1800" w:left="1440" w:header="708" w:footer="708" w:gutter="0"/>
          <w:cols w:space="242"/>
          <w:docGrid w:linePitch="360"/>
        </w:sectPr>
      </w:pPr>
    </w:p>
    <w:p w14:paraId="5F0AFB66" w14:textId="4503A7FC" w:rsidR="004014F4" w:rsidRPr="00086AB2" w:rsidRDefault="001B67B4" w:rsidP="007729EA">
      <w:pPr>
        <w:pStyle w:val="SWASectionnumberingheading"/>
      </w:pPr>
      <w:bookmarkStart w:id="31" w:name="_Toc85729322"/>
      <w:bookmarkStart w:id="32" w:name="_Toc150245665"/>
      <w:bookmarkEnd w:id="31"/>
      <w:r w:rsidRPr="00086AB2">
        <w:lastRenderedPageBreak/>
        <w:t xml:space="preserve">Duration of </w:t>
      </w:r>
      <w:r w:rsidR="00DB4E97" w:rsidRPr="00086AB2">
        <w:t>absence</w:t>
      </w:r>
      <w:bookmarkEnd w:id="32"/>
      <w:r w:rsidR="00020821">
        <w:t xml:space="preserve"> </w:t>
      </w:r>
    </w:p>
    <w:p w14:paraId="435B5EEE" w14:textId="12282F65" w:rsidR="001B67B4" w:rsidRDefault="001B67B4" w:rsidP="007729EA">
      <w:pPr>
        <w:keepNext/>
        <w:keepLines/>
      </w:pPr>
      <w:r w:rsidRPr="008E6EF2">
        <w:t xml:space="preserve">The duration of absence associated with </w:t>
      </w:r>
      <w:r w:rsidR="00B07EFB" w:rsidRPr="008E6EF2">
        <w:t xml:space="preserve">serious </w:t>
      </w:r>
      <w:r w:rsidRPr="008E6EF2">
        <w:t>claims provides an indication of the severity of injuries</w:t>
      </w:r>
      <w:r w:rsidR="00EA53BE" w:rsidRPr="008E6EF2">
        <w:t xml:space="preserve"> and diseases</w:t>
      </w:r>
      <w:r w:rsidRPr="008E6EF2">
        <w:t xml:space="preserve"> occurring in Australia. </w:t>
      </w:r>
      <w:r w:rsidR="00DB4E97">
        <w:t xml:space="preserve">This measure </w:t>
      </w:r>
      <w:r w:rsidRPr="008E6EF2">
        <w:t>shows the variation in the percentage of claims involving selected periods of compensation</w:t>
      </w:r>
      <w:r w:rsidR="00F20315" w:rsidRPr="008E6EF2">
        <w:t xml:space="preserve"> across the jurisdictions</w:t>
      </w:r>
      <w:r w:rsidRPr="008E6EF2">
        <w:t xml:space="preserve">. </w:t>
      </w:r>
      <w:r w:rsidR="00E74178" w:rsidRPr="008E6EF2">
        <w:t xml:space="preserve">Data </w:t>
      </w:r>
      <w:r w:rsidR="0039462E" w:rsidRPr="008E6EF2">
        <w:t>are</w:t>
      </w:r>
      <w:r w:rsidRPr="008E6EF2">
        <w:t xml:space="preserve"> based on claims lodged in</w:t>
      </w:r>
      <w:r w:rsidR="00F20315" w:rsidRPr="008E6EF2">
        <w:t xml:space="preserve"> </w:t>
      </w:r>
      <w:r w:rsidR="00AE29EB" w:rsidRPr="008E6EF2">
        <w:t>2</w:t>
      </w:r>
      <w:r w:rsidR="00F20315" w:rsidRPr="008E6EF2">
        <w:t>0</w:t>
      </w:r>
      <w:r w:rsidR="00B925F7">
        <w:t>20</w:t>
      </w:r>
      <w:r w:rsidR="00F20315" w:rsidRPr="008E6EF2">
        <w:t>–</w:t>
      </w:r>
      <w:r w:rsidR="002822CC">
        <w:t>2</w:t>
      </w:r>
      <w:r w:rsidR="00B925F7">
        <w:t>1</w:t>
      </w:r>
      <w:r w:rsidRPr="008E6EF2">
        <w:t xml:space="preserve">, which is the most recent year that </w:t>
      </w:r>
      <w:r w:rsidR="00E74178" w:rsidRPr="008E6EF2">
        <w:t xml:space="preserve">finalised </w:t>
      </w:r>
      <w:r w:rsidRPr="008E6EF2">
        <w:t xml:space="preserve">data </w:t>
      </w:r>
      <w:r w:rsidR="00E74178" w:rsidRPr="008E6EF2">
        <w:t xml:space="preserve">is </w:t>
      </w:r>
      <w:r w:rsidRPr="008E6EF2">
        <w:t xml:space="preserve">available for this indicator. </w:t>
      </w:r>
    </w:p>
    <w:p w14:paraId="0447AFDD" w14:textId="44EB7496" w:rsidR="00AB20B9" w:rsidRPr="0031228B" w:rsidRDefault="00AB20B9" w:rsidP="0031228B">
      <w:pPr>
        <w:pStyle w:val="Heading3"/>
      </w:pPr>
      <w:bookmarkStart w:id="33" w:name="_Toc56603297"/>
      <w:bookmarkStart w:id="34" w:name="_Toc56772232"/>
      <w:bookmarkStart w:id="35" w:name="_Toc150245666"/>
      <w:r w:rsidRPr="0031228B">
        <w:t>Serious claims: Percentage involving selected periods of compensation</w:t>
      </w:r>
      <w:r w:rsidR="008E6EF2" w:rsidRPr="0031228B">
        <w:t xml:space="preserve"> (%)</w:t>
      </w:r>
      <w:r w:rsidRPr="0031228B">
        <w:t xml:space="preserve">, </w:t>
      </w:r>
      <w:r w:rsidR="00F869DA" w:rsidRPr="0031228B">
        <w:t>20</w:t>
      </w:r>
      <w:r w:rsidR="00B925F7">
        <w:t>20</w:t>
      </w:r>
      <w:r w:rsidR="00F869DA" w:rsidRPr="0031228B">
        <w:t>–</w:t>
      </w:r>
      <w:bookmarkEnd w:id="33"/>
      <w:bookmarkEnd w:id="34"/>
      <w:r w:rsidR="005B7D1F">
        <w:t>2</w:t>
      </w:r>
      <w:r w:rsidR="00B925F7">
        <w:t>1</w:t>
      </w:r>
      <w:r w:rsidR="00DB4E97">
        <w:t xml:space="preserve"> (previously i</w:t>
      </w:r>
      <w:r w:rsidR="00DB4E97" w:rsidRPr="0031228B">
        <w:t xml:space="preserve">ndicator </w:t>
      </w:r>
      <w:fldSimple w:instr=" SEQ Indicator \* ARABIC ">
        <w:r w:rsidR="00DB4E97">
          <w:rPr>
            <w:noProof/>
          </w:rPr>
          <w:t>6</w:t>
        </w:r>
      </w:fldSimple>
      <w:r w:rsidR="00DB4E97">
        <w:rPr>
          <w:noProof/>
        </w:rPr>
        <w:t>)</w:t>
      </w:r>
      <w:bookmarkEnd w:id="35"/>
    </w:p>
    <w:tbl>
      <w:tblPr>
        <w:tblW w:w="8840" w:type="dxa"/>
        <w:tblBorders>
          <w:top w:val="single" w:sz="4" w:space="0" w:color="auto"/>
          <w:left w:val="single" w:sz="4" w:space="0" w:color="auto"/>
          <w:bottom w:val="single" w:sz="4" w:space="0" w:color="auto"/>
          <w:right w:val="single" w:sz="4" w:space="0" w:color="auto"/>
          <w:insideV w:val="single" w:sz="4" w:space="0" w:color="FFFFFF" w:themeColor="background1"/>
        </w:tblBorders>
        <w:tblLook w:val="04A0" w:firstRow="1" w:lastRow="0" w:firstColumn="1" w:lastColumn="0" w:noHBand="0" w:noVBand="1"/>
      </w:tblPr>
      <w:tblGrid>
        <w:gridCol w:w="1910"/>
        <w:gridCol w:w="1386"/>
        <w:gridCol w:w="1386"/>
        <w:gridCol w:w="1386"/>
        <w:gridCol w:w="1386"/>
        <w:gridCol w:w="1386"/>
      </w:tblGrid>
      <w:tr w:rsidR="00703437" w:rsidRPr="00703437" w14:paraId="383D9D20" w14:textId="77777777" w:rsidTr="003B679E">
        <w:trPr>
          <w:trHeight w:val="637"/>
        </w:trPr>
        <w:tc>
          <w:tcPr>
            <w:tcW w:w="1910" w:type="dxa"/>
            <w:shd w:val="clear" w:color="000000" w:fill="AF1E2D"/>
            <w:vAlign w:val="center"/>
            <w:hideMark/>
          </w:tcPr>
          <w:p w14:paraId="541AD182" w14:textId="77777777" w:rsidR="00703437" w:rsidRPr="00703437" w:rsidRDefault="00703437" w:rsidP="00703437">
            <w:pPr>
              <w:spacing w:after="0"/>
              <w:jc w:val="left"/>
              <w:rPr>
                <w:rFonts w:cs="Arial"/>
                <w:b/>
                <w:bCs/>
                <w:color w:val="FFFFFF"/>
                <w:szCs w:val="20"/>
              </w:rPr>
            </w:pPr>
            <w:r w:rsidRPr="00703437">
              <w:rPr>
                <w:rFonts w:cs="Arial"/>
                <w:b/>
                <w:bCs/>
                <w:color w:val="FFFFFF"/>
                <w:szCs w:val="20"/>
              </w:rPr>
              <w:t>Jurisdiction</w:t>
            </w:r>
          </w:p>
        </w:tc>
        <w:tc>
          <w:tcPr>
            <w:tcW w:w="1386" w:type="dxa"/>
            <w:shd w:val="clear" w:color="000000" w:fill="AF1E2D"/>
            <w:vAlign w:val="center"/>
            <w:hideMark/>
          </w:tcPr>
          <w:p w14:paraId="23E450FA"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less than 6 weeks</w:t>
            </w:r>
          </w:p>
        </w:tc>
        <w:tc>
          <w:tcPr>
            <w:tcW w:w="1386" w:type="dxa"/>
            <w:shd w:val="clear" w:color="000000" w:fill="AF1E2D"/>
            <w:vAlign w:val="center"/>
            <w:hideMark/>
          </w:tcPr>
          <w:p w14:paraId="09035E1E"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6 weeks or more</w:t>
            </w:r>
          </w:p>
        </w:tc>
        <w:tc>
          <w:tcPr>
            <w:tcW w:w="1386" w:type="dxa"/>
            <w:shd w:val="clear" w:color="000000" w:fill="AF1E2D"/>
            <w:vAlign w:val="center"/>
            <w:hideMark/>
          </w:tcPr>
          <w:p w14:paraId="613E4976"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12 weeks or more</w:t>
            </w:r>
          </w:p>
        </w:tc>
        <w:tc>
          <w:tcPr>
            <w:tcW w:w="1386" w:type="dxa"/>
            <w:shd w:val="clear" w:color="000000" w:fill="AF1E2D"/>
            <w:vAlign w:val="center"/>
            <w:hideMark/>
          </w:tcPr>
          <w:p w14:paraId="2D952649"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26 weeks or more</w:t>
            </w:r>
          </w:p>
        </w:tc>
        <w:tc>
          <w:tcPr>
            <w:tcW w:w="1386" w:type="dxa"/>
            <w:shd w:val="clear" w:color="000000" w:fill="AF1E2D"/>
            <w:vAlign w:val="center"/>
            <w:hideMark/>
          </w:tcPr>
          <w:p w14:paraId="4DEA8002"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52 weeks or more</w:t>
            </w:r>
          </w:p>
        </w:tc>
      </w:tr>
      <w:tr w:rsidR="00703437" w:rsidRPr="00703437" w14:paraId="0D2E79FE" w14:textId="77777777" w:rsidTr="003B679E">
        <w:trPr>
          <w:trHeight w:val="317"/>
        </w:trPr>
        <w:tc>
          <w:tcPr>
            <w:tcW w:w="1910" w:type="dxa"/>
            <w:shd w:val="clear" w:color="000000" w:fill="EFD3D2"/>
            <w:vAlign w:val="center"/>
            <w:hideMark/>
          </w:tcPr>
          <w:p w14:paraId="2EC1AAA5" w14:textId="77777777" w:rsidR="00703437" w:rsidRPr="00703437" w:rsidRDefault="00703437" w:rsidP="00703437">
            <w:pPr>
              <w:spacing w:after="0"/>
              <w:rPr>
                <w:rFonts w:cs="Arial"/>
                <w:b/>
                <w:bCs/>
                <w:color w:val="000000"/>
                <w:szCs w:val="20"/>
              </w:rPr>
            </w:pPr>
            <w:r w:rsidRPr="00703437">
              <w:rPr>
                <w:rFonts w:cs="Arial"/>
                <w:b/>
                <w:bCs/>
                <w:color w:val="000000"/>
                <w:szCs w:val="20"/>
              </w:rPr>
              <w:t>NSW</w:t>
            </w:r>
          </w:p>
        </w:tc>
        <w:tc>
          <w:tcPr>
            <w:tcW w:w="1386" w:type="dxa"/>
            <w:shd w:val="clear" w:color="000000" w:fill="EFD3D2"/>
            <w:vAlign w:val="center"/>
            <w:hideMark/>
          </w:tcPr>
          <w:p w14:paraId="56BC437F" w14:textId="77777777" w:rsidR="00703437" w:rsidRPr="00703437" w:rsidRDefault="00703437" w:rsidP="00703437">
            <w:pPr>
              <w:spacing w:after="0"/>
              <w:jc w:val="center"/>
              <w:rPr>
                <w:rFonts w:cs="Arial"/>
                <w:szCs w:val="20"/>
              </w:rPr>
            </w:pPr>
            <w:r w:rsidRPr="00703437">
              <w:rPr>
                <w:rFonts w:cs="Arial"/>
                <w:szCs w:val="20"/>
              </w:rPr>
              <w:t>50.5%</w:t>
            </w:r>
          </w:p>
        </w:tc>
        <w:tc>
          <w:tcPr>
            <w:tcW w:w="1386" w:type="dxa"/>
            <w:shd w:val="clear" w:color="000000" w:fill="EFD3D2"/>
            <w:vAlign w:val="center"/>
            <w:hideMark/>
          </w:tcPr>
          <w:p w14:paraId="0F764AE3" w14:textId="77777777" w:rsidR="00703437" w:rsidRPr="00703437" w:rsidRDefault="00703437" w:rsidP="00703437">
            <w:pPr>
              <w:spacing w:after="0"/>
              <w:jc w:val="center"/>
              <w:rPr>
                <w:rFonts w:cs="Arial"/>
                <w:szCs w:val="20"/>
              </w:rPr>
            </w:pPr>
            <w:r w:rsidRPr="00703437">
              <w:rPr>
                <w:rFonts w:cs="Arial"/>
                <w:szCs w:val="20"/>
              </w:rPr>
              <w:t>49.5%</w:t>
            </w:r>
          </w:p>
        </w:tc>
        <w:tc>
          <w:tcPr>
            <w:tcW w:w="1386" w:type="dxa"/>
            <w:shd w:val="clear" w:color="000000" w:fill="EFD3D2"/>
            <w:vAlign w:val="center"/>
            <w:hideMark/>
          </w:tcPr>
          <w:p w14:paraId="4823A195" w14:textId="77777777" w:rsidR="00703437" w:rsidRPr="00703437" w:rsidRDefault="00703437" w:rsidP="00703437">
            <w:pPr>
              <w:spacing w:after="0"/>
              <w:jc w:val="center"/>
              <w:rPr>
                <w:rFonts w:cs="Arial"/>
                <w:szCs w:val="20"/>
              </w:rPr>
            </w:pPr>
            <w:r w:rsidRPr="00703437">
              <w:rPr>
                <w:rFonts w:cs="Arial"/>
                <w:szCs w:val="20"/>
              </w:rPr>
              <w:t>34.4%</w:t>
            </w:r>
          </w:p>
        </w:tc>
        <w:tc>
          <w:tcPr>
            <w:tcW w:w="1386" w:type="dxa"/>
            <w:shd w:val="clear" w:color="000000" w:fill="EFD3D2"/>
            <w:vAlign w:val="center"/>
            <w:hideMark/>
          </w:tcPr>
          <w:p w14:paraId="19FAB709" w14:textId="77777777" w:rsidR="00703437" w:rsidRPr="00703437" w:rsidRDefault="00703437" w:rsidP="00703437">
            <w:pPr>
              <w:spacing w:after="0"/>
              <w:jc w:val="center"/>
              <w:rPr>
                <w:rFonts w:cs="Arial"/>
                <w:szCs w:val="20"/>
              </w:rPr>
            </w:pPr>
            <w:r w:rsidRPr="00703437">
              <w:rPr>
                <w:rFonts w:cs="Arial"/>
                <w:szCs w:val="20"/>
              </w:rPr>
              <w:t>21.3%</w:t>
            </w:r>
          </w:p>
        </w:tc>
        <w:tc>
          <w:tcPr>
            <w:tcW w:w="1386" w:type="dxa"/>
            <w:shd w:val="clear" w:color="000000" w:fill="EFD3D2"/>
            <w:vAlign w:val="center"/>
            <w:hideMark/>
          </w:tcPr>
          <w:p w14:paraId="424C88F2" w14:textId="77777777" w:rsidR="00703437" w:rsidRPr="00703437" w:rsidRDefault="00703437" w:rsidP="00703437">
            <w:pPr>
              <w:spacing w:after="0"/>
              <w:jc w:val="center"/>
              <w:rPr>
                <w:rFonts w:cs="Arial"/>
                <w:szCs w:val="20"/>
              </w:rPr>
            </w:pPr>
            <w:r w:rsidRPr="00703437">
              <w:rPr>
                <w:rFonts w:cs="Arial"/>
                <w:szCs w:val="20"/>
              </w:rPr>
              <w:t>13.0%</w:t>
            </w:r>
          </w:p>
        </w:tc>
      </w:tr>
      <w:tr w:rsidR="00703437" w:rsidRPr="00703437" w14:paraId="0E36F884" w14:textId="77777777" w:rsidTr="003B679E">
        <w:trPr>
          <w:trHeight w:val="317"/>
        </w:trPr>
        <w:tc>
          <w:tcPr>
            <w:tcW w:w="1910" w:type="dxa"/>
            <w:shd w:val="clear" w:color="000000" w:fill="FFFFFF"/>
            <w:vAlign w:val="center"/>
            <w:hideMark/>
          </w:tcPr>
          <w:p w14:paraId="4B0AC317" w14:textId="77777777" w:rsidR="00703437" w:rsidRPr="00703437" w:rsidRDefault="00703437" w:rsidP="00703437">
            <w:pPr>
              <w:spacing w:after="0"/>
              <w:rPr>
                <w:rFonts w:cs="Arial"/>
                <w:b/>
                <w:bCs/>
                <w:color w:val="000000"/>
                <w:szCs w:val="20"/>
              </w:rPr>
            </w:pPr>
            <w:r w:rsidRPr="00703437">
              <w:rPr>
                <w:rFonts w:cs="Arial"/>
                <w:b/>
                <w:bCs/>
                <w:color w:val="000000"/>
                <w:szCs w:val="20"/>
              </w:rPr>
              <w:t>VIC</w:t>
            </w:r>
          </w:p>
        </w:tc>
        <w:tc>
          <w:tcPr>
            <w:tcW w:w="1386" w:type="dxa"/>
            <w:shd w:val="clear" w:color="000000" w:fill="FFFFFF"/>
            <w:vAlign w:val="center"/>
            <w:hideMark/>
          </w:tcPr>
          <w:p w14:paraId="76EB1D92" w14:textId="77777777" w:rsidR="00703437" w:rsidRPr="00703437" w:rsidRDefault="00703437" w:rsidP="00703437">
            <w:pPr>
              <w:spacing w:after="0"/>
              <w:jc w:val="center"/>
              <w:rPr>
                <w:rFonts w:cs="Arial"/>
                <w:szCs w:val="20"/>
              </w:rPr>
            </w:pPr>
            <w:r w:rsidRPr="00703437">
              <w:rPr>
                <w:rFonts w:cs="Arial"/>
                <w:szCs w:val="20"/>
              </w:rPr>
              <w:t>17.8%</w:t>
            </w:r>
          </w:p>
        </w:tc>
        <w:tc>
          <w:tcPr>
            <w:tcW w:w="1386" w:type="dxa"/>
            <w:shd w:val="clear" w:color="000000" w:fill="FFFFFF"/>
            <w:vAlign w:val="center"/>
            <w:hideMark/>
          </w:tcPr>
          <w:p w14:paraId="34DA7089" w14:textId="77777777" w:rsidR="00703437" w:rsidRPr="00703437" w:rsidRDefault="00703437" w:rsidP="00703437">
            <w:pPr>
              <w:spacing w:after="0"/>
              <w:jc w:val="center"/>
              <w:rPr>
                <w:rFonts w:cs="Arial"/>
                <w:szCs w:val="20"/>
              </w:rPr>
            </w:pPr>
            <w:r w:rsidRPr="00703437">
              <w:rPr>
                <w:rFonts w:cs="Arial"/>
                <w:szCs w:val="20"/>
              </w:rPr>
              <w:t>82.2%</w:t>
            </w:r>
          </w:p>
        </w:tc>
        <w:tc>
          <w:tcPr>
            <w:tcW w:w="1386" w:type="dxa"/>
            <w:shd w:val="clear" w:color="000000" w:fill="FFFFFF"/>
            <w:vAlign w:val="center"/>
            <w:hideMark/>
          </w:tcPr>
          <w:p w14:paraId="3B1C1368" w14:textId="77777777" w:rsidR="00703437" w:rsidRPr="00703437" w:rsidRDefault="00703437" w:rsidP="00703437">
            <w:pPr>
              <w:spacing w:after="0"/>
              <w:jc w:val="center"/>
              <w:rPr>
                <w:rFonts w:cs="Arial"/>
                <w:szCs w:val="20"/>
              </w:rPr>
            </w:pPr>
            <w:r w:rsidRPr="00703437">
              <w:rPr>
                <w:rFonts w:cs="Arial"/>
                <w:szCs w:val="20"/>
              </w:rPr>
              <w:t>64.5%</w:t>
            </w:r>
          </w:p>
        </w:tc>
        <w:tc>
          <w:tcPr>
            <w:tcW w:w="1386" w:type="dxa"/>
            <w:shd w:val="clear" w:color="000000" w:fill="FFFFFF"/>
            <w:vAlign w:val="center"/>
            <w:hideMark/>
          </w:tcPr>
          <w:p w14:paraId="3F215C3E" w14:textId="77777777" w:rsidR="00703437" w:rsidRPr="00703437" w:rsidRDefault="00703437" w:rsidP="00703437">
            <w:pPr>
              <w:spacing w:after="0"/>
              <w:jc w:val="center"/>
              <w:rPr>
                <w:rFonts w:cs="Arial"/>
                <w:szCs w:val="20"/>
              </w:rPr>
            </w:pPr>
            <w:r w:rsidRPr="00703437">
              <w:rPr>
                <w:rFonts w:cs="Arial"/>
                <w:szCs w:val="20"/>
              </w:rPr>
              <w:t>45.7%</w:t>
            </w:r>
          </w:p>
        </w:tc>
        <w:tc>
          <w:tcPr>
            <w:tcW w:w="1386" w:type="dxa"/>
            <w:shd w:val="clear" w:color="000000" w:fill="FFFFFF"/>
            <w:vAlign w:val="center"/>
            <w:hideMark/>
          </w:tcPr>
          <w:p w14:paraId="7DDC79BB" w14:textId="77777777" w:rsidR="00703437" w:rsidRPr="00703437" w:rsidRDefault="00703437" w:rsidP="00703437">
            <w:pPr>
              <w:spacing w:after="0"/>
              <w:jc w:val="center"/>
              <w:rPr>
                <w:rFonts w:cs="Arial"/>
                <w:szCs w:val="20"/>
              </w:rPr>
            </w:pPr>
            <w:r w:rsidRPr="00703437">
              <w:rPr>
                <w:rFonts w:cs="Arial"/>
                <w:szCs w:val="20"/>
              </w:rPr>
              <w:t>30.5%</w:t>
            </w:r>
          </w:p>
        </w:tc>
      </w:tr>
      <w:tr w:rsidR="00703437" w:rsidRPr="00703437" w14:paraId="728F9EB4" w14:textId="77777777" w:rsidTr="003B679E">
        <w:trPr>
          <w:trHeight w:val="317"/>
        </w:trPr>
        <w:tc>
          <w:tcPr>
            <w:tcW w:w="1910" w:type="dxa"/>
            <w:shd w:val="clear" w:color="000000" w:fill="EFD3D2"/>
            <w:vAlign w:val="center"/>
            <w:hideMark/>
          </w:tcPr>
          <w:p w14:paraId="6DE8A3E9" w14:textId="77777777" w:rsidR="00703437" w:rsidRPr="00703437" w:rsidRDefault="00703437" w:rsidP="00703437">
            <w:pPr>
              <w:spacing w:after="0"/>
              <w:rPr>
                <w:rFonts w:cs="Arial"/>
                <w:b/>
                <w:bCs/>
                <w:color w:val="000000"/>
                <w:szCs w:val="20"/>
              </w:rPr>
            </w:pPr>
            <w:r w:rsidRPr="00703437">
              <w:rPr>
                <w:rFonts w:cs="Arial"/>
                <w:b/>
                <w:bCs/>
                <w:color w:val="000000"/>
                <w:szCs w:val="20"/>
              </w:rPr>
              <w:t>QLD</w:t>
            </w:r>
          </w:p>
        </w:tc>
        <w:tc>
          <w:tcPr>
            <w:tcW w:w="1386" w:type="dxa"/>
            <w:shd w:val="clear" w:color="000000" w:fill="EFD3D2"/>
            <w:vAlign w:val="center"/>
            <w:hideMark/>
          </w:tcPr>
          <w:p w14:paraId="10E5182F" w14:textId="77777777" w:rsidR="00703437" w:rsidRPr="00703437" w:rsidRDefault="00703437" w:rsidP="00703437">
            <w:pPr>
              <w:spacing w:after="0"/>
              <w:jc w:val="center"/>
              <w:rPr>
                <w:rFonts w:cs="Arial"/>
                <w:szCs w:val="20"/>
              </w:rPr>
            </w:pPr>
            <w:r w:rsidRPr="00703437">
              <w:rPr>
                <w:rFonts w:cs="Arial"/>
                <w:szCs w:val="20"/>
              </w:rPr>
              <w:t>47.6%</w:t>
            </w:r>
          </w:p>
        </w:tc>
        <w:tc>
          <w:tcPr>
            <w:tcW w:w="1386" w:type="dxa"/>
            <w:shd w:val="clear" w:color="000000" w:fill="EFD3D2"/>
            <w:vAlign w:val="center"/>
            <w:hideMark/>
          </w:tcPr>
          <w:p w14:paraId="3FDD8456" w14:textId="77777777" w:rsidR="00703437" w:rsidRPr="00703437" w:rsidRDefault="00703437" w:rsidP="00703437">
            <w:pPr>
              <w:spacing w:after="0"/>
              <w:jc w:val="center"/>
              <w:rPr>
                <w:rFonts w:cs="Arial"/>
                <w:szCs w:val="20"/>
              </w:rPr>
            </w:pPr>
            <w:r w:rsidRPr="00703437">
              <w:rPr>
                <w:rFonts w:cs="Arial"/>
                <w:szCs w:val="20"/>
              </w:rPr>
              <w:t>52.4%</w:t>
            </w:r>
          </w:p>
        </w:tc>
        <w:tc>
          <w:tcPr>
            <w:tcW w:w="1386" w:type="dxa"/>
            <w:shd w:val="clear" w:color="000000" w:fill="EFD3D2"/>
            <w:vAlign w:val="center"/>
            <w:hideMark/>
          </w:tcPr>
          <w:p w14:paraId="302AB91A" w14:textId="77777777" w:rsidR="00703437" w:rsidRPr="00703437" w:rsidRDefault="00703437" w:rsidP="00703437">
            <w:pPr>
              <w:spacing w:after="0"/>
              <w:jc w:val="center"/>
              <w:rPr>
                <w:rFonts w:cs="Arial"/>
                <w:szCs w:val="20"/>
              </w:rPr>
            </w:pPr>
            <w:r w:rsidRPr="00703437">
              <w:rPr>
                <w:rFonts w:cs="Arial"/>
                <w:szCs w:val="20"/>
              </w:rPr>
              <w:t>34.7%</w:t>
            </w:r>
          </w:p>
        </w:tc>
        <w:tc>
          <w:tcPr>
            <w:tcW w:w="1386" w:type="dxa"/>
            <w:shd w:val="clear" w:color="000000" w:fill="EFD3D2"/>
            <w:vAlign w:val="center"/>
            <w:hideMark/>
          </w:tcPr>
          <w:p w14:paraId="720BD676" w14:textId="77777777" w:rsidR="00703437" w:rsidRPr="00703437" w:rsidRDefault="00703437" w:rsidP="00703437">
            <w:pPr>
              <w:spacing w:after="0"/>
              <w:jc w:val="center"/>
              <w:rPr>
                <w:rFonts w:cs="Arial"/>
                <w:szCs w:val="20"/>
              </w:rPr>
            </w:pPr>
            <w:r w:rsidRPr="00703437">
              <w:rPr>
                <w:rFonts w:cs="Arial"/>
                <w:szCs w:val="20"/>
              </w:rPr>
              <w:t>18.5%</w:t>
            </w:r>
          </w:p>
        </w:tc>
        <w:tc>
          <w:tcPr>
            <w:tcW w:w="1386" w:type="dxa"/>
            <w:shd w:val="clear" w:color="000000" w:fill="EFD3D2"/>
            <w:vAlign w:val="center"/>
            <w:hideMark/>
          </w:tcPr>
          <w:p w14:paraId="4B2F59AA" w14:textId="77777777" w:rsidR="00703437" w:rsidRPr="00703437" w:rsidRDefault="00703437" w:rsidP="00703437">
            <w:pPr>
              <w:spacing w:after="0"/>
              <w:jc w:val="center"/>
              <w:rPr>
                <w:rFonts w:cs="Arial"/>
                <w:szCs w:val="20"/>
              </w:rPr>
            </w:pPr>
            <w:r w:rsidRPr="00703437">
              <w:rPr>
                <w:rFonts w:cs="Arial"/>
                <w:szCs w:val="20"/>
              </w:rPr>
              <w:t>8.1%</w:t>
            </w:r>
          </w:p>
        </w:tc>
      </w:tr>
      <w:tr w:rsidR="00703437" w:rsidRPr="00703437" w14:paraId="3EF794EC" w14:textId="77777777" w:rsidTr="003B679E">
        <w:trPr>
          <w:trHeight w:val="317"/>
        </w:trPr>
        <w:tc>
          <w:tcPr>
            <w:tcW w:w="1910" w:type="dxa"/>
            <w:shd w:val="clear" w:color="000000" w:fill="FFFFFF"/>
            <w:vAlign w:val="center"/>
            <w:hideMark/>
          </w:tcPr>
          <w:p w14:paraId="0AC85854" w14:textId="77777777" w:rsidR="00703437" w:rsidRPr="00703437" w:rsidRDefault="00703437" w:rsidP="00703437">
            <w:pPr>
              <w:spacing w:after="0"/>
              <w:rPr>
                <w:rFonts w:cs="Arial"/>
                <w:b/>
                <w:bCs/>
                <w:color w:val="000000"/>
                <w:szCs w:val="20"/>
              </w:rPr>
            </w:pPr>
            <w:r w:rsidRPr="00703437">
              <w:rPr>
                <w:rFonts w:cs="Arial"/>
                <w:b/>
                <w:bCs/>
                <w:color w:val="000000"/>
                <w:szCs w:val="20"/>
              </w:rPr>
              <w:t>SA</w:t>
            </w:r>
          </w:p>
        </w:tc>
        <w:tc>
          <w:tcPr>
            <w:tcW w:w="1386" w:type="dxa"/>
            <w:shd w:val="clear" w:color="000000" w:fill="FFFFFF"/>
            <w:vAlign w:val="center"/>
            <w:hideMark/>
          </w:tcPr>
          <w:p w14:paraId="42F14896" w14:textId="77777777" w:rsidR="00703437" w:rsidRPr="00703437" w:rsidRDefault="00703437" w:rsidP="00703437">
            <w:pPr>
              <w:spacing w:after="0"/>
              <w:jc w:val="center"/>
              <w:rPr>
                <w:rFonts w:cs="Arial"/>
                <w:szCs w:val="20"/>
              </w:rPr>
            </w:pPr>
            <w:r w:rsidRPr="00703437">
              <w:rPr>
                <w:rFonts w:cs="Arial"/>
                <w:szCs w:val="20"/>
              </w:rPr>
              <w:t>42.6%</w:t>
            </w:r>
          </w:p>
        </w:tc>
        <w:tc>
          <w:tcPr>
            <w:tcW w:w="1386" w:type="dxa"/>
            <w:shd w:val="clear" w:color="000000" w:fill="FFFFFF"/>
            <w:vAlign w:val="center"/>
            <w:hideMark/>
          </w:tcPr>
          <w:p w14:paraId="3D7A7391" w14:textId="77777777" w:rsidR="00703437" w:rsidRPr="00703437" w:rsidRDefault="00703437" w:rsidP="00703437">
            <w:pPr>
              <w:spacing w:after="0"/>
              <w:jc w:val="center"/>
              <w:rPr>
                <w:rFonts w:cs="Arial"/>
                <w:szCs w:val="20"/>
              </w:rPr>
            </w:pPr>
            <w:r w:rsidRPr="00703437">
              <w:rPr>
                <w:rFonts w:cs="Arial"/>
                <w:szCs w:val="20"/>
              </w:rPr>
              <w:t>57.4%</w:t>
            </w:r>
          </w:p>
        </w:tc>
        <w:tc>
          <w:tcPr>
            <w:tcW w:w="1386" w:type="dxa"/>
            <w:shd w:val="clear" w:color="000000" w:fill="FFFFFF"/>
            <w:vAlign w:val="center"/>
            <w:hideMark/>
          </w:tcPr>
          <w:p w14:paraId="1DB049AF" w14:textId="77777777" w:rsidR="00703437" w:rsidRPr="00703437" w:rsidRDefault="00703437" w:rsidP="00703437">
            <w:pPr>
              <w:spacing w:after="0"/>
              <w:jc w:val="center"/>
              <w:rPr>
                <w:rFonts w:cs="Arial"/>
                <w:szCs w:val="20"/>
              </w:rPr>
            </w:pPr>
            <w:r w:rsidRPr="00703437">
              <w:rPr>
                <w:rFonts w:cs="Arial"/>
                <w:szCs w:val="20"/>
              </w:rPr>
              <w:t>39.8%</w:t>
            </w:r>
          </w:p>
        </w:tc>
        <w:tc>
          <w:tcPr>
            <w:tcW w:w="1386" w:type="dxa"/>
            <w:shd w:val="clear" w:color="000000" w:fill="FFFFFF"/>
            <w:vAlign w:val="center"/>
            <w:hideMark/>
          </w:tcPr>
          <w:p w14:paraId="0F078768" w14:textId="77777777" w:rsidR="00703437" w:rsidRPr="00703437" w:rsidRDefault="00703437" w:rsidP="00703437">
            <w:pPr>
              <w:spacing w:after="0"/>
              <w:jc w:val="center"/>
              <w:rPr>
                <w:rFonts w:cs="Arial"/>
                <w:szCs w:val="20"/>
              </w:rPr>
            </w:pPr>
            <w:r w:rsidRPr="00703437">
              <w:rPr>
                <w:rFonts w:cs="Arial"/>
                <w:szCs w:val="20"/>
              </w:rPr>
              <w:t>22.4%</w:t>
            </w:r>
          </w:p>
        </w:tc>
        <w:tc>
          <w:tcPr>
            <w:tcW w:w="1386" w:type="dxa"/>
            <w:shd w:val="clear" w:color="000000" w:fill="FFFFFF"/>
            <w:vAlign w:val="center"/>
            <w:hideMark/>
          </w:tcPr>
          <w:p w14:paraId="2EE2698A" w14:textId="77777777" w:rsidR="00703437" w:rsidRPr="00703437" w:rsidRDefault="00703437" w:rsidP="00703437">
            <w:pPr>
              <w:spacing w:after="0"/>
              <w:jc w:val="center"/>
              <w:rPr>
                <w:rFonts w:cs="Arial"/>
                <w:szCs w:val="20"/>
              </w:rPr>
            </w:pPr>
            <w:r w:rsidRPr="00703437">
              <w:rPr>
                <w:rFonts w:cs="Arial"/>
                <w:szCs w:val="20"/>
              </w:rPr>
              <w:t>10.7%</w:t>
            </w:r>
          </w:p>
        </w:tc>
      </w:tr>
      <w:tr w:rsidR="00703437" w:rsidRPr="00703437" w14:paraId="317A6084" w14:textId="77777777" w:rsidTr="003B679E">
        <w:trPr>
          <w:trHeight w:val="317"/>
        </w:trPr>
        <w:tc>
          <w:tcPr>
            <w:tcW w:w="1910" w:type="dxa"/>
            <w:shd w:val="clear" w:color="000000" w:fill="EFD3D2"/>
            <w:vAlign w:val="center"/>
            <w:hideMark/>
          </w:tcPr>
          <w:p w14:paraId="3B18E7A5" w14:textId="77777777" w:rsidR="00703437" w:rsidRPr="00703437" w:rsidRDefault="00703437" w:rsidP="00703437">
            <w:pPr>
              <w:spacing w:after="0"/>
              <w:rPr>
                <w:rFonts w:cs="Arial"/>
                <w:b/>
                <w:bCs/>
                <w:color w:val="000000"/>
                <w:szCs w:val="20"/>
              </w:rPr>
            </w:pPr>
            <w:r w:rsidRPr="00703437">
              <w:rPr>
                <w:rFonts w:cs="Arial"/>
                <w:b/>
                <w:bCs/>
                <w:color w:val="000000"/>
                <w:szCs w:val="20"/>
              </w:rPr>
              <w:t>WA</w:t>
            </w:r>
          </w:p>
        </w:tc>
        <w:tc>
          <w:tcPr>
            <w:tcW w:w="1386" w:type="dxa"/>
            <w:shd w:val="clear" w:color="000000" w:fill="EFD3D2"/>
            <w:vAlign w:val="center"/>
            <w:hideMark/>
          </w:tcPr>
          <w:p w14:paraId="457B6A7A" w14:textId="77777777" w:rsidR="00703437" w:rsidRPr="00703437" w:rsidRDefault="00703437" w:rsidP="00703437">
            <w:pPr>
              <w:spacing w:after="0"/>
              <w:jc w:val="center"/>
              <w:rPr>
                <w:rFonts w:cs="Arial"/>
                <w:szCs w:val="20"/>
              </w:rPr>
            </w:pPr>
            <w:r w:rsidRPr="00703437">
              <w:rPr>
                <w:rFonts w:cs="Arial"/>
                <w:szCs w:val="20"/>
              </w:rPr>
              <w:t>36.8%</w:t>
            </w:r>
          </w:p>
        </w:tc>
        <w:tc>
          <w:tcPr>
            <w:tcW w:w="1386" w:type="dxa"/>
            <w:shd w:val="clear" w:color="000000" w:fill="EFD3D2"/>
            <w:vAlign w:val="center"/>
            <w:hideMark/>
          </w:tcPr>
          <w:p w14:paraId="2AB09361" w14:textId="77777777" w:rsidR="00703437" w:rsidRPr="00703437" w:rsidRDefault="00703437" w:rsidP="00703437">
            <w:pPr>
              <w:spacing w:after="0"/>
              <w:jc w:val="center"/>
              <w:rPr>
                <w:rFonts w:cs="Arial"/>
                <w:szCs w:val="20"/>
              </w:rPr>
            </w:pPr>
            <w:r w:rsidRPr="00703437">
              <w:rPr>
                <w:rFonts w:cs="Arial"/>
                <w:szCs w:val="20"/>
              </w:rPr>
              <w:t>63.2%</w:t>
            </w:r>
          </w:p>
        </w:tc>
        <w:tc>
          <w:tcPr>
            <w:tcW w:w="1386" w:type="dxa"/>
            <w:shd w:val="clear" w:color="000000" w:fill="EFD3D2"/>
            <w:vAlign w:val="center"/>
            <w:hideMark/>
          </w:tcPr>
          <w:p w14:paraId="5312A789" w14:textId="77777777" w:rsidR="00703437" w:rsidRPr="00703437" w:rsidRDefault="00703437" w:rsidP="00703437">
            <w:pPr>
              <w:spacing w:after="0"/>
              <w:jc w:val="center"/>
              <w:rPr>
                <w:rFonts w:cs="Arial"/>
                <w:szCs w:val="20"/>
              </w:rPr>
            </w:pPr>
            <w:r w:rsidRPr="00703437">
              <w:rPr>
                <w:rFonts w:cs="Arial"/>
                <w:szCs w:val="20"/>
              </w:rPr>
              <w:t>46.5%</w:t>
            </w:r>
          </w:p>
        </w:tc>
        <w:tc>
          <w:tcPr>
            <w:tcW w:w="1386" w:type="dxa"/>
            <w:shd w:val="clear" w:color="000000" w:fill="EFD3D2"/>
            <w:vAlign w:val="center"/>
            <w:hideMark/>
          </w:tcPr>
          <w:p w14:paraId="0DB20E8F" w14:textId="77777777" w:rsidR="00703437" w:rsidRPr="00703437" w:rsidRDefault="00703437" w:rsidP="00703437">
            <w:pPr>
              <w:spacing w:after="0"/>
              <w:jc w:val="center"/>
              <w:rPr>
                <w:rFonts w:cs="Arial"/>
                <w:szCs w:val="20"/>
              </w:rPr>
            </w:pPr>
            <w:r w:rsidRPr="00703437">
              <w:rPr>
                <w:rFonts w:cs="Arial"/>
                <w:szCs w:val="20"/>
              </w:rPr>
              <w:t>28.6%</w:t>
            </w:r>
          </w:p>
        </w:tc>
        <w:tc>
          <w:tcPr>
            <w:tcW w:w="1386" w:type="dxa"/>
            <w:shd w:val="clear" w:color="000000" w:fill="EFD3D2"/>
            <w:vAlign w:val="center"/>
            <w:hideMark/>
          </w:tcPr>
          <w:p w14:paraId="02E54AFC" w14:textId="77777777" w:rsidR="00703437" w:rsidRPr="00703437" w:rsidRDefault="00703437" w:rsidP="00703437">
            <w:pPr>
              <w:spacing w:after="0"/>
              <w:jc w:val="center"/>
              <w:rPr>
                <w:rFonts w:cs="Arial"/>
                <w:szCs w:val="20"/>
              </w:rPr>
            </w:pPr>
            <w:r w:rsidRPr="00703437">
              <w:rPr>
                <w:rFonts w:cs="Arial"/>
                <w:szCs w:val="20"/>
              </w:rPr>
              <w:t>14.8%</w:t>
            </w:r>
          </w:p>
        </w:tc>
      </w:tr>
      <w:tr w:rsidR="00703437" w:rsidRPr="00703437" w14:paraId="48341D7C" w14:textId="77777777" w:rsidTr="003B679E">
        <w:trPr>
          <w:trHeight w:val="317"/>
        </w:trPr>
        <w:tc>
          <w:tcPr>
            <w:tcW w:w="1910" w:type="dxa"/>
            <w:shd w:val="clear" w:color="000000" w:fill="FFFFFF"/>
            <w:vAlign w:val="center"/>
            <w:hideMark/>
          </w:tcPr>
          <w:p w14:paraId="3ED57FEC" w14:textId="77777777" w:rsidR="00703437" w:rsidRPr="00703437" w:rsidRDefault="00703437" w:rsidP="00703437">
            <w:pPr>
              <w:spacing w:after="0"/>
              <w:rPr>
                <w:rFonts w:cs="Arial"/>
                <w:b/>
                <w:bCs/>
                <w:color w:val="000000"/>
                <w:szCs w:val="20"/>
              </w:rPr>
            </w:pPr>
            <w:r w:rsidRPr="00703437">
              <w:rPr>
                <w:rFonts w:cs="Arial"/>
                <w:b/>
                <w:bCs/>
                <w:color w:val="000000"/>
                <w:szCs w:val="20"/>
              </w:rPr>
              <w:t>TAS</w:t>
            </w:r>
          </w:p>
        </w:tc>
        <w:tc>
          <w:tcPr>
            <w:tcW w:w="1386" w:type="dxa"/>
            <w:shd w:val="clear" w:color="000000" w:fill="FFFFFF"/>
            <w:vAlign w:val="center"/>
            <w:hideMark/>
          </w:tcPr>
          <w:p w14:paraId="1F9954A8" w14:textId="77777777" w:rsidR="00703437" w:rsidRPr="00703437" w:rsidRDefault="00703437" w:rsidP="00703437">
            <w:pPr>
              <w:spacing w:after="0"/>
              <w:jc w:val="center"/>
              <w:rPr>
                <w:rFonts w:cs="Arial"/>
                <w:szCs w:val="20"/>
              </w:rPr>
            </w:pPr>
            <w:r w:rsidRPr="00703437">
              <w:rPr>
                <w:rFonts w:cs="Arial"/>
                <w:szCs w:val="20"/>
              </w:rPr>
              <w:t>55.3%</w:t>
            </w:r>
          </w:p>
        </w:tc>
        <w:tc>
          <w:tcPr>
            <w:tcW w:w="1386" w:type="dxa"/>
            <w:shd w:val="clear" w:color="000000" w:fill="FFFFFF"/>
            <w:vAlign w:val="center"/>
            <w:hideMark/>
          </w:tcPr>
          <w:p w14:paraId="5851754A" w14:textId="77777777" w:rsidR="00703437" w:rsidRPr="00703437" w:rsidRDefault="00703437" w:rsidP="00703437">
            <w:pPr>
              <w:spacing w:after="0"/>
              <w:jc w:val="center"/>
              <w:rPr>
                <w:rFonts w:cs="Arial"/>
                <w:szCs w:val="20"/>
              </w:rPr>
            </w:pPr>
            <w:r w:rsidRPr="00703437">
              <w:rPr>
                <w:rFonts w:cs="Arial"/>
                <w:szCs w:val="20"/>
              </w:rPr>
              <w:t>44.7%</w:t>
            </w:r>
          </w:p>
        </w:tc>
        <w:tc>
          <w:tcPr>
            <w:tcW w:w="1386" w:type="dxa"/>
            <w:shd w:val="clear" w:color="000000" w:fill="FFFFFF"/>
            <w:vAlign w:val="center"/>
            <w:hideMark/>
          </w:tcPr>
          <w:p w14:paraId="480D83EE" w14:textId="77777777" w:rsidR="00703437" w:rsidRPr="00703437" w:rsidRDefault="00703437" w:rsidP="00703437">
            <w:pPr>
              <w:spacing w:after="0"/>
              <w:jc w:val="center"/>
              <w:rPr>
                <w:rFonts w:cs="Arial"/>
                <w:szCs w:val="20"/>
              </w:rPr>
            </w:pPr>
            <w:r w:rsidRPr="00703437">
              <w:rPr>
                <w:rFonts w:cs="Arial"/>
                <w:szCs w:val="20"/>
              </w:rPr>
              <w:t>27.8%</w:t>
            </w:r>
          </w:p>
        </w:tc>
        <w:tc>
          <w:tcPr>
            <w:tcW w:w="1386" w:type="dxa"/>
            <w:shd w:val="clear" w:color="000000" w:fill="FFFFFF"/>
            <w:vAlign w:val="center"/>
            <w:hideMark/>
          </w:tcPr>
          <w:p w14:paraId="498B1874" w14:textId="77777777" w:rsidR="00703437" w:rsidRPr="00703437" w:rsidRDefault="00703437" w:rsidP="00703437">
            <w:pPr>
              <w:spacing w:after="0"/>
              <w:jc w:val="center"/>
              <w:rPr>
                <w:rFonts w:cs="Arial"/>
                <w:szCs w:val="20"/>
              </w:rPr>
            </w:pPr>
            <w:r w:rsidRPr="00703437">
              <w:rPr>
                <w:rFonts w:cs="Arial"/>
                <w:szCs w:val="20"/>
              </w:rPr>
              <w:t>13.7%</w:t>
            </w:r>
          </w:p>
        </w:tc>
        <w:tc>
          <w:tcPr>
            <w:tcW w:w="1386" w:type="dxa"/>
            <w:shd w:val="clear" w:color="000000" w:fill="FFFFFF"/>
            <w:vAlign w:val="center"/>
            <w:hideMark/>
          </w:tcPr>
          <w:p w14:paraId="7835EF8E" w14:textId="77777777" w:rsidR="00703437" w:rsidRPr="00703437" w:rsidRDefault="00703437" w:rsidP="00703437">
            <w:pPr>
              <w:spacing w:after="0"/>
              <w:jc w:val="center"/>
              <w:rPr>
                <w:rFonts w:cs="Arial"/>
                <w:szCs w:val="20"/>
              </w:rPr>
            </w:pPr>
            <w:r w:rsidRPr="00703437">
              <w:rPr>
                <w:rFonts w:cs="Arial"/>
                <w:szCs w:val="20"/>
              </w:rPr>
              <w:t>6.8%</w:t>
            </w:r>
          </w:p>
        </w:tc>
      </w:tr>
      <w:tr w:rsidR="00703437" w:rsidRPr="00703437" w14:paraId="26101791" w14:textId="77777777" w:rsidTr="003B679E">
        <w:trPr>
          <w:trHeight w:val="317"/>
        </w:trPr>
        <w:tc>
          <w:tcPr>
            <w:tcW w:w="1910" w:type="dxa"/>
            <w:shd w:val="clear" w:color="000000" w:fill="EFD3D2"/>
            <w:vAlign w:val="center"/>
            <w:hideMark/>
          </w:tcPr>
          <w:p w14:paraId="125C047A" w14:textId="77777777" w:rsidR="00703437" w:rsidRPr="00703437" w:rsidRDefault="00703437" w:rsidP="00703437">
            <w:pPr>
              <w:spacing w:after="0"/>
              <w:rPr>
                <w:rFonts w:cs="Arial"/>
                <w:b/>
                <w:bCs/>
                <w:color w:val="000000"/>
                <w:szCs w:val="20"/>
              </w:rPr>
            </w:pPr>
            <w:r w:rsidRPr="00703437">
              <w:rPr>
                <w:rFonts w:cs="Arial"/>
                <w:b/>
                <w:bCs/>
                <w:color w:val="000000"/>
                <w:szCs w:val="20"/>
              </w:rPr>
              <w:t>NT</w:t>
            </w:r>
          </w:p>
        </w:tc>
        <w:tc>
          <w:tcPr>
            <w:tcW w:w="1386" w:type="dxa"/>
            <w:shd w:val="clear" w:color="000000" w:fill="EFD3D2"/>
            <w:vAlign w:val="center"/>
            <w:hideMark/>
          </w:tcPr>
          <w:p w14:paraId="6F247B68" w14:textId="77777777" w:rsidR="00703437" w:rsidRPr="00703437" w:rsidRDefault="00703437" w:rsidP="00703437">
            <w:pPr>
              <w:spacing w:after="0"/>
              <w:jc w:val="center"/>
              <w:rPr>
                <w:rFonts w:cs="Arial"/>
                <w:szCs w:val="20"/>
              </w:rPr>
            </w:pPr>
            <w:r w:rsidRPr="00703437">
              <w:rPr>
                <w:rFonts w:cs="Arial"/>
                <w:szCs w:val="20"/>
              </w:rPr>
              <w:t>45.9%</w:t>
            </w:r>
          </w:p>
        </w:tc>
        <w:tc>
          <w:tcPr>
            <w:tcW w:w="1386" w:type="dxa"/>
            <w:shd w:val="clear" w:color="000000" w:fill="EFD3D2"/>
            <w:vAlign w:val="center"/>
            <w:hideMark/>
          </w:tcPr>
          <w:p w14:paraId="659F42BC" w14:textId="77777777" w:rsidR="00703437" w:rsidRPr="00703437" w:rsidRDefault="00703437" w:rsidP="00703437">
            <w:pPr>
              <w:spacing w:after="0"/>
              <w:jc w:val="center"/>
              <w:rPr>
                <w:rFonts w:cs="Arial"/>
                <w:szCs w:val="20"/>
              </w:rPr>
            </w:pPr>
            <w:r w:rsidRPr="00703437">
              <w:rPr>
                <w:rFonts w:cs="Arial"/>
                <w:szCs w:val="20"/>
              </w:rPr>
              <w:t>54.1%</w:t>
            </w:r>
          </w:p>
        </w:tc>
        <w:tc>
          <w:tcPr>
            <w:tcW w:w="1386" w:type="dxa"/>
            <w:shd w:val="clear" w:color="000000" w:fill="EFD3D2"/>
            <w:vAlign w:val="center"/>
            <w:hideMark/>
          </w:tcPr>
          <w:p w14:paraId="29D00D2D" w14:textId="77777777" w:rsidR="00703437" w:rsidRPr="00703437" w:rsidRDefault="00703437" w:rsidP="00703437">
            <w:pPr>
              <w:spacing w:after="0"/>
              <w:jc w:val="center"/>
              <w:rPr>
                <w:rFonts w:cs="Arial"/>
                <w:szCs w:val="20"/>
              </w:rPr>
            </w:pPr>
            <w:r w:rsidRPr="00703437">
              <w:rPr>
                <w:rFonts w:cs="Arial"/>
                <w:szCs w:val="20"/>
              </w:rPr>
              <w:t>34.2%</w:t>
            </w:r>
          </w:p>
        </w:tc>
        <w:tc>
          <w:tcPr>
            <w:tcW w:w="1386" w:type="dxa"/>
            <w:shd w:val="clear" w:color="000000" w:fill="EFD3D2"/>
            <w:vAlign w:val="center"/>
            <w:hideMark/>
          </w:tcPr>
          <w:p w14:paraId="2D9639E3" w14:textId="77777777" w:rsidR="00703437" w:rsidRPr="00703437" w:rsidRDefault="00703437" w:rsidP="00703437">
            <w:pPr>
              <w:spacing w:after="0"/>
              <w:jc w:val="center"/>
              <w:rPr>
                <w:rFonts w:cs="Arial"/>
                <w:szCs w:val="20"/>
              </w:rPr>
            </w:pPr>
            <w:r w:rsidRPr="00703437">
              <w:rPr>
                <w:rFonts w:cs="Arial"/>
                <w:szCs w:val="20"/>
              </w:rPr>
              <w:t>16.8%</w:t>
            </w:r>
          </w:p>
        </w:tc>
        <w:tc>
          <w:tcPr>
            <w:tcW w:w="1386" w:type="dxa"/>
            <w:shd w:val="clear" w:color="000000" w:fill="EFD3D2"/>
            <w:vAlign w:val="center"/>
            <w:hideMark/>
          </w:tcPr>
          <w:p w14:paraId="77377854" w14:textId="77777777" w:rsidR="00703437" w:rsidRPr="00703437" w:rsidRDefault="00703437" w:rsidP="00703437">
            <w:pPr>
              <w:spacing w:after="0"/>
              <w:jc w:val="center"/>
              <w:rPr>
                <w:rFonts w:cs="Arial"/>
                <w:szCs w:val="20"/>
              </w:rPr>
            </w:pPr>
            <w:r w:rsidRPr="00703437">
              <w:rPr>
                <w:rFonts w:cs="Arial"/>
                <w:szCs w:val="20"/>
              </w:rPr>
              <w:t>5.7%</w:t>
            </w:r>
          </w:p>
        </w:tc>
      </w:tr>
      <w:tr w:rsidR="00703437" w:rsidRPr="00703437" w14:paraId="27EC9192" w14:textId="77777777" w:rsidTr="003B679E">
        <w:trPr>
          <w:trHeight w:val="317"/>
        </w:trPr>
        <w:tc>
          <w:tcPr>
            <w:tcW w:w="1910" w:type="dxa"/>
            <w:shd w:val="clear" w:color="000000" w:fill="FFFFFF"/>
            <w:vAlign w:val="center"/>
            <w:hideMark/>
          </w:tcPr>
          <w:p w14:paraId="5264E2A0" w14:textId="77777777" w:rsidR="00703437" w:rsidRPr="00703437" w:rsidRDefault="00703437" w:rsidP="00703437">
            <w:pPr>
              <w:spacing w:after="0"/>
              <w:rPr>
                <w:rFonts w:cs="Arial"/>
                <w:b/>
                <w:bCs/>
                <w:color w:val="000000"/>
                <w:szCs w:val="20"/>
              </w:rPr>
            </w:pPr>
            <w:r w:rsidRPr="00703437">
              <w:rPr>
                <w:rFonts w:cs="Arial"/>
                <w:b/>
                <w:bCs/>
                <w:color w:val="000000"/>
                <w:szCs w:val="20"/>
              </w:rPr>
              <w:t>ACT</w:t>
            </w:r>
          </w:p>
        </w:tc>
        <w:tc>
          <w:tcPr>
            <w:tcW w:w="1386" w:type="dxa"/>
            <w:shd w:val="clear" w:color="000000" w:fill="FFFFFF"/>
            <w:vAlign w:val="center"/>
            <w:hideMark/>
          </w:tcPr>
          <w:p w14:paraId="035702DF" w14:textId="77777777" w:rsidR="00703437" w:rsidRPr="00703437" w:rsidRDefault="00703437" w:rsidP="00703437">
            <w:pPr>
              <w:spacing w:after="0"/>
              <w:jc w:val="center"/>
              <w:rPr>
                <w:rFonts w:cs="Arial"/>
                <w:szCs w:val="20"/>
              </w:rPr>
            </w:pPr>
            <w:r w:rsidRPr="00703437">
              <w:rPr>
                <w:rFonts w:cs="Arial"/>
                <w:szCs w:val="20"/>
              </w:rPr>
              <w:t>42.3%</w:t>
            </w:r>
          </w:p>
        </w:tc>
        <w:tc>
          <w:tcPr>
            <w:tcW w:w="1386" w:type="dxa"/>
            <w:shd w:val="clear" w:color="000000" w:fill="FFFFFF"/>
            <w:vAlign w:val="center"/>
            <w:hideMark/>
          </w:tcPr>
          <w:p w14:paraId="3C15EA52" w14:textId="77777777" w:rsidR="00703437" w:rsidRPr="00703437" w:rsidRDefault="00703437" w:rsidP="00703437">
            <w:pPr>
              <w:spacing w:after="0"/>
              <w:jc w:val="center"/>
              <w:rPr>
                <w:rFonts w:cs="Arial"/>
                <w:szCs w:val="20"/>
              </w:rPr>
            </w:pPr>
            <w:r w:rsidRPr="00703437">
              <w:rPr>
                <w:rFonts w:cs="Arial"/>
                <w:szCs w:val="20"/>
              </w:rPr>
              <w:t>57.7%</w:t>
            </w:r>
          </w:p>
        </w:tc>
        <w:tc>
          <w:tcPr>
            <w:tcW w:w="1386" w:type="dxa"/>
            <w:shd w:val="clear" w:color="000000" w:fill="FFFFFF"/>
            <w:vAlign w:val="center"/>
            <w:hideMark/>
          </w:tcPr>
          <w:p w14:paraId="2FCB264E" w14:textId="77777777" w:rsidR="00703437" w:rsidRPr="00703437" w:rsidRDefault="00703437" w:rsidP="00703437">
            <w:pPr>
              <w:spacing w:after="0"/>
              <w:jc w:val="center"/>
              <w:rPr>
                <w:rFonts w:cs="Arial"/>
                <w:szCs w:val="20"/>
              </w:rPr>
            </w:pPr>
            <w:r w:rsidRPr="00703437">
              <w:rPr>
                <w:rFonts w:cs="Arial"/>
                <w:szCs w:val="20"/>
              </w:rPr>
              <w:t>38.1%</w:t>
            </w:r>
          </w:p>
        </w:tc>
        <w:tc>
          <w:tcPr>
            <w:tcW w:w="1386" w:type="dxa"/>
            <w:shd w:val="clear" w:color="000000" w:fill="FFFFFF"/>
            <w:vAlign w:val="center"/>
            <w:hideMark/>
          </w:tcPr>
          <w:p w14:paraId="1F894200" w14:textId="77777777" w:rsidR="00703437" w:rsidRPr="00703437" w:rsidRDefault="00703437" w:rsidP="00703437">
            <w:pPr>
              <w:spacing w:after="0"/>
              <w:jc w:val="center"/>
              <w:rPr>
                <w:rFonts w:cs="Arial"/>
                <w:szCs w:val="20"/>
              </w:rPr>
            </w:pPr>
            <w:r w:rsidRPr="00703437">
              <w:rPr>
                <w:rFonts w:cs="Arial"/>
                <w:szCs w:val="20"/>
              </w:rPr>
              <w:t>18.5%</w:t>
            </w:r>
          </w:p>
        </w:tc>
        <w:tc>
          <w:tcPr>
            <w:tcW w:w="1386" w:type="dxa"/>
            <w:shd w:val="clear" w:color="000000" w:fill="FFFFFF"/>
            <w:vAlign w:val="center"/>
            <w:hideMark/>
          </w:tcPr>
          <w:p w14:paraId="6FB5AE4C" w14:textId="77777777" w:rsidR="00703437" w:rsidRPr="00703437" w:rsidRDefault="00703437" w:rsidP="00703437">
            <w:pPr>
              <w:spacing w:after="0"/>
              <w:jc w:val="center"/>
              <w:rPr>
                <w:rFonts w:cs="Arial"/>
                <w:szCs w:val="20"/>
              </w:rPr>
            </w:pPr>
            <w:r w:rsidRPr="00703437">
              <w:rPr>
                <w:rFonts w:cs="Arial"/>
                <w:szCs w:val="20"/>
              </w:rPr>
              <w:t>7.1%</w:t>
            </w:r>
          </w:p>
        </w:tc>
      </w:tr>
      <w:tr w:rsidR="00703437" w:rsidRPr="00703437" w14:paraId="72B541DC" w14:textId="77777777" w:rsidTr="003B679E">
        <w:trPr>
          <w:trHeight w:val="317"/>
        </w:trPr>
        <w:tc>
          <w:tcPr>
            <w:tcW w:w="1910" w:type="dxa"/>
            <w:shd w:val="clear" w:color="000000" w:fill="EFD3D2"/>
            <w:vAlign w:val="center"/>
            <w:hideMark/>
          </w:tcPr>
          <w:p w14:paraId="39996089" w14:textId="77777777" w:rsidR="00703437" w:rsidRPr="00703437" w:rsidRDefault="00703437" w:rsidP="00703437">
            <w:pPr>
              <w:spacing w:after="0"/>
              <w:rPr>
                <w:rFonts w:cs="Arial"/>
                <w:b/>
                <w:bCs/>
                <w:color w:val="000000"/>
                <w:szCs w:val="20"/>
              </w:rPr>
            </w:pPr>
            <w:r w:rsidRPr="00703437">
              <w:rPr>
                <w:rFonts w:cs="Arial"/>
                <w:b/>
                <w:bCs/>
                <w:color w:val="000000"/>
                <w:szCs w:val="20"/>
              </w:rPr>
              <w:t>Aus Gov</w:t>
            </w:r>
          </w:p>
        </w:tc>
        <w:tc>
          <w:tcPr>
            <w:tcW w:w="1386" w:type="dxa"/>
            <w:shd w:val="clear" w:color="000000" w:fill="EFD3D2"/>
            <w:vAlign w:val="center"/>
            <w:hideMark/>
          </w:tcPr>
          <w:p w14:paraId="4C194115" w14:textId="77777777" w:rsidR="00703437" w:rsidRPr="00703437" w:rsidRDefault="00703437" w:rsidP="00703437">
            <w:pPr>
              <w:spacing w:after="0"/>
              <w:jc w:val="center"/>
              <w:rPr>
                <w:rFonts w:cs="Arial"/>
                <w:szCs w:val="20"/>
              </w:rPr>
            </w:pPr>
            <w:r w:rsidRPr="00703437">
              <w:rPr>
                <w:rFonts w:cs="Arial"/>
                <w:szCs w:val="20"/>
              </w:rPr>
              <w:t>44.8%</w:t>
            </w:r>
          </w:p>
        </w:tc>
        <w:tc>
          <w:tcPr>
            <w:tcW w:w="1386" w:type="dxa"/>
            <w:shd w:val="clear" w:color="000000" w:fill="EFD3D2"/>
            <w:vAlign w:val="center"/>
            <w:hideMark/>
          </w:tcPr>
          <w:p w14:paraId="7FE2B03F" w14:textId="77777777" w:rsidR="00703437" w:rsidRPr="00703437" w:rsidRDefault="00703437" w:rsidP="00703437">
            <w:pPr>
              <w:spacing w:after="0"/>
              <w:jc w:val="center"/>
              <w:rPr>
                <w:rFonts w:cs="Arial"/>
                <w:szCs w:val="20"/>
              </w:rPr>
            </w:pPr>
            <w:r w:rsidRPr="00703437">
              <w:rPr>
                <w:rFonts w:cs="Arial"/>
                <w:szCs w:val="20"/>
              </w:rPr>
              <w:t>55.2%</w:t>
            </w:r>
          </w:p>
        </w:tc>
        <w:tc>
          <w:tcPr>
            <w:tcW w:w="1386" w:type="dxa"/>
            <w:shd w:val="clear" w:color="000000" w:fill="EFD3D2"/>
            <w:vAlign w:val="center"/>
            <w:hideMark/>
          </w:tcPr>
          <w:p w14:paraId="36905720" w14:textId="77777777" w:rsidR="00703437" w:rsidRPr="00703437" w:rsidRDefault="00703437" w:rsidP="00703437">
            <w:pPr>
              <w:spacing w:after="0"/>
              <w:jc w:val="center"/>
              <w:rPr>
                <w:rFonts w:cs="Arial"/>
                <w:szCs w:val="20"/>
              </w:rPr>
            </w:pPr>
            <w:r w:rsidRPr="00703437">
              <w:rPr>
                <w:rFonts w:cs="Arial"/>
                <w:szCs w:val="20"/>
              </w:rPr>
              <w:t>38.4%</w:t>
            </w:r>
          </w:p>
        </w:tc>
        <w:tc>
          <w:tcPr>
            <w:tcW w:w="1386" w:type="dxa"/>
            <w:shd w:val="clear" w:color="000000" w:fill="EFD3D2"/>
            <w:vAlign w:val="center"/>
            <w:hideMark/>
          </w:tcPr>
          <w:p w14:paraId="5A6B3260" w14:textId="77777777" w:rsidR="00703437" w:rsidRPr="00703437" w:rsidRDefault="00703437" w:rsidP="00703437">
            <w:pPr>
              <w:spacing w:after="0"/>
              <w:jc w:val="center"/>
              <w:rPr>
                <w:rFonts w:cs="Arial"/>
                <w:szCs w:val="20"/>
              </w:rPr>
            </w:pPr>
            <w:r w:rsidRPr="00703437">
              <w:rPr>
                <w:rFonts w:cs="Arial"/>
                <w:szCs w:val="20"/>
              </w:rPr>
              <w:t>22.8%</w:t>
            </w:r>
          </w:p>
        </w:tc>
        <w:tc>
          <w:tcPr>
            <w:tcW w:w="1386" w:type="dxa"/>
            <w:shd w:val="clear" w:color="000000" w:fill="EFD3D2"/>
            <w:vAlign w:val="center"/>
            <w:hideMark/>
          </w:tcPr>
          <w:p w14:paraId="5D787F37" w14:textId="77777777" w:rsidR="00703437" w:rsidRPr="00703437" w:rsidRDefault="00703437" w:rsidP="00703437">
            <w:pPr>
              <w:spacing w:after="0"/>
              <w:jc w:val="center"/>
              <w:rPr>
                <w:rFonts w:cs="Arial"/>
                <w:szCs w:val="20"/>
              </w:rPr>
            </w:pPr>
            <w:r w:rsidRPr="00703437">
              <w:rPr>
                <w:rFonts w:cs="Arial"/>
                <w:szCs w:val="20"/>
              </w:rPr>
              <w:t>11.5%</w:t>
            </w:r>
          </w:p>
        </w:tc>
      </w:tr>
      <w:tr w:rsidR="00703437" w:rsidRPr="00703437" w14:paraId="4AB64D67" w14:textId="77777777" w:rsidTr="003B679E">
        <w:trPr>
          <w:trHeight w:val="317"/>
        </w:trPr>
        <w:tc>
          <w:tcPr>
            <w:tcW w:w="1910" w:type="dxa"/>
            <w:shd w:val="clear" w:color="000000" w:fill="FFFFFF"/>
            <w:vAlign w:val="center"/>
            <w:hideMark/>
          </w:tcPr>
          <w:p w14:paraId="2EAC8FCE" w14:textId="77777777" w:rsidR="00703437" w:rsidRPr="00703437" w:rsidRDefault="00703437" w:rsidP="00703437">
            <w:pPr>
              <w:spacing w:after="0"/>
              <w:rPr>
                <w:rFonts w:cs="Arial"/>
                <w:b/>
                <w:bCs/>
                <w:color w:val="000000"/>
                <w:szCs w:val="20"/>
              </w:rPr>
            </w:pPr>
            <w:r w:rsidRPr="00703437">
              <w:rPr>
                <w:rFonts w:cs="Arial"/>
                <w:b/>
                <w:bCs/>
                <w:color w:val="000000"/>
                <w:szCs w:val="20"/>
              </w:rPr>
              <w:t>Seacare</w:t>
            </w:r>
          </w:p>
        </w:tc>
        <w:tc>
          <w:tcPr>
            <w:tcW w:w="1386" w:type="dxa"/>
            <w:shd w:val="clear" w:color="000000" w:fill="FFFFFF"/>
            <w:vAlign w:val="center"/>
            <w:hideMark/>
          </w:tcPr>
          <w:p w14:paraId="2D15A77B" w14:textId="77777777" w:rsidR="00703437" w:rsidRPr="00703437" w:rsidRDefault="00703437" w:rsidP="00703437">
            <w:pPr>
              <w:spacing w:after="0"/>
              <w:jc w:val="center"/>
              <w:rPr>
                <w:rFonts w:cs="Arial"/>
                <w:szCs w:val="20"/>
              </w:rPr>
            </w:pPr>
            <w:r w:rsidRPr="00703437">
              <w:rPr>
                <w:rFonts w:cs="Arial"/>
                <w:szCs w:val="20"/>
              </w:rPr>
              <w:t>18.4%</w:t>
            </w:r>
          </w:p>
        </w:tc>
        <w:tc>
          <w:tcPr>
            <w:tcW w:w="1386" w:type="dxa"/>
            <w:shd w:val="clear" w:color="000000" w:fill="FFFFFF"/>
            <w:vAlign w:val="center"/>
            <w:hideMark/>
          </w:tcPr>
          <w:p w14:paraId="32C6E4C3" w14:textId="77777777" w:rsidR="00703437" w:rsidRPr="00703437" w:rsidRDefault="00703437" w:rsidP="00703437">
            <w:pPr>
              <w:spacing w:after="0"/>
              <w:jc w:val="center"/>
              <w:rPr>
                <w:rFonts w:cs="Arial"/>
                <w:szCs w:val="20"/>
              </w:rPr>
            </w:pPr>
            <w:r w:rsidRPr="00703437">
              <w:rPr>
                <w:rFonts w:cs="Arial"/>
                <w:szCs w:val="20"/>
              </w:rPr>
              <w:t>81.6%</w:t>
            </w:r>
          </w:p>
        </w:tc>
        <w:tc>
          <w:tcPr>
            <w:tcW w:w="1386" w:type="dxa"/>
            <w:shd w:val="clear" w:color="000000" w:fill="FFFFFF"/>
            <w:vAlign w:val="center"/>
            <w:hideMark/>
          </w:tcPr>
          <w:p w14:paraId="1342E6D5" w14:textId="77777777" w:rsidR="00703437" w:rsidRPr="00703437" w:rsidRDefault="00703437" w:rsidP="00703437">
            <w:pPr>
              <w:spacing w:after="0"/>
              <w:jc w:val="center"/>
              <w:rPr>
                <w:rFonts w:cs="Arial"/>
                <w:szCs w:val="20"/>
              </w:rPr>
            </w:pPr>
            <w:r w:rsidRPr="00703437">
              <w:rPr>
                <w:rFonts w:cs="Arial"/>
                <w:szCs w:val="20"/>
              </w:rPr>
              <w:t>56.6%</w:t>
            </w:r>
          </w:p>
        </w:tc>
        <w:tc>
          <w:tcPr>
            <w:tcW w:w="1386" w:type="dxa"/>
            <w:shd w:val="clear" w:color="000000" w:fill="FFFFFF"/>
            <w:vAlign w:val="center"/>
            <w:hideMark/>
          </w:tcPr>
          <w:p w14:paraId="089E32A1" w14:textId="77777777" w:rsidR="00703437" w:rsidRPr="00703437" w:rsidRDefault="00703437" w:rsidP="00703437">
            <w:pPr>
              <w:spacing w:after="0"/>
              <w:jc w:val="center"/>
              <w:rPr>
                <w:rFonts w:cs="Arial"/>
                <w:szCs w:val="20"/>
              </w:rPr>
            </w:pPr>
            <w:r w:rsidRPr="00703437">
              <w:rPr>
                <w:rFonts w:cs="Arial"/>
                <w:szCs w:val="20"/>
              </w:rPr>
              <w:t>32.9%</w:t>
            </w:r>
          </w:p>
        </w:tc>
        <w:tc>
          <w:tcPr>
            <w:tcW w:w="1386" w:type="dxa"/>
            <w:shd w:val="clear" w:color="000000" w:fill="FFFFFF"/>
            <w:vAlign w:val="center"/>
            <w:hideMark/>
          </w:tcPr>
          <w:p w14:paraId="3808F546" w14:textId="77777777" w:rsidR="00703437" w:rsidRPr="00703437" w:rsidRDefault="00703437" w:rsidP="00703437">
            <w:pPr>
              <w:spacing w:after="0"/>
              <w:jc w:val="center"/>
              <w:rPr>
                <w:rFonts w:cs="Arial"/>
                <w:szCs w:val="20"/>
              </w:rPr>
            </w:pPr>
            <w:r w:rsidRPr="00703437">
              <w:rPr>
                <w:rFonts w:cs="Arial"/>
                <w:szCs w:val="20"/>
              </w:rPr>
              <w:t>17.1%</w:t>
            </w:r>
          </w:p>
        </w:tc>
      </w:tr>
      <w:tr w:rsidR="00703437" w:rsidRPr="00703437" w14:paraId="6BC1C437" w14:textId="77777777" w:rsidTr="003B679E">
        <w:trPr>
          <w:trHeight w:val="317"/>
        </w:trPr>
        <w:tc>
          <w:tcPr>
            <w:tcW w:w="1910" w:type="dxa"/>
            <w:shd w:val="clear" w:color="000000" w:fill="808080"/>
            <w:vAlign w:val="center"/>
            <w:hideMark/>
          </w:tcPr>
          <w:p w14:paraId="4EC4537D" w14:textId="146A34C3" w:rsidR="00703437" w:rsidRPr="00703437" w:rsidRDefault="00A872C7" w:rsidP="00703437">
            <w:pPr>
              <w:spacing w:after="0"/>
              <w:rPr>
                <w:rFonts w:cs="Arial"/>
                <w:b/>
                <w:bCs/>
                <w:color w:val="FFFFFF"/>
                <w:szCs w:val="20"/>
              </w:rPr>
            </w:pPr>
            <w:r>
              <w:rPr>
                <w:rFonts w:cs="Arial"/>
                <w:b/>
                <w:bCs/>
                <w:color w:val="FFFFFF"/>
                <w:szCs w:val="20"/>
              </w:rPr>
              <w:t xml:space="preserve">Australian </w:t>
            </w:r>
            <w:r w:rsidR="00C16567">
              <w:rPr>
                <w:rFonts w:cs="Arial"/>
                <w:b/>
                <w:bCs/>
                <w:color w:val="FFFFFF"/>
                <w:szCs w:val="20"/>
              </w:rPr>
              <w:t>t</w:t>
            </w:r>
            <w:r>
              <w:rPr>
                <w:rFonts w:cs="Arial"/>
                <w:b/>
                <w:bCs/>
                <w:color w:val="FFFFFF"/>
                <w:szCs w:val="20"/>
              </w:rPr>
              <w:t>otal</w:t>
            </w:r>
          </w:p>
        </w:tc>
        <w:tc>
          <w:tcPr>
            <w:tcW w:w="1386" w:type="dxa"/>
            <w:shd w:val="clear" w:color="000000" w:fill="808080"/>
            <w:vAlign w:val="center"/>
            <w:hideMark/>
          </w:tcPr>
          <w:p w14:paraId="5CC3D1E7"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42.7%</w:t>
            </w:r>
          </w:p>
        </w:tc>
        <w:tc>
          <w:tcPr>
            <w:tcW w:w="1386" w:type="dxa"/>
            <w:shd w:val="clear" w:color="000000" w:fill="808080"/>
            <w:vAlign w:val="center"/>
            <w:hideMark/>
          </w:tcPr>
          <w:p w14:paraId="5F586F8C"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57.3%</w:t>
            </w:r>
          </w:p>
        </w:tc>
        <w:tc>
          <w:tcPr>
            <w:tcW w:w="1386" w:type="dxa"/>
            <w:shd w:val="clear" w:color="000000" w:fill="808080"/>
            <w:vAlign w:val="center"/>
            <w:hideMark/>
          </w:tcPr>
          <w:p w14:paraId="5EBC2586"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40.6%</w:t>
            </w:r>
          </w:p>
        </w:tc>
        <w:tc>
          <w:tcPr>
            <w:tcW w:w="1386" w:type="dxa"/>
            <w:shd w:val="clear" w:color="000000" w:fill="808080"/>
            <w:vAlign w:val="center"/>
            <w:hideMark/>
          </w:tcPr>
          <w:p w14:paraId="72F87372"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25.0%</w:t>
            </w:r>
          </w:p>
        </w:tc>
        <w:tc>
          <w:tcPr>
            <w:tcW w:w="1386" w:type="dxa"/>
            <w:shd w:val="clear" w:color="000000" w:fill="808080"/>
            <w:vAlign w:val="center"/>
            <w:hideMark/>
          </w:tcPr>
          <w:p w14:paraId="4071E096" w14:textId="77777777" w:rsidR="00703437" w:rsidRPr="00703437" w:rsidRDefault="00703437" w:rsidP="00703437">
            <w:pPr>
              <w:spacing w:after="0"/>
              <w:jc w:val="center"/>
              <w:rPr>
                <w:rFonts w:cs="Arial"/>
                <w:b/>
                <w:bCs/>
                <w:color w:val="FFFFFF"/>
                <w:szCs w:val="20"/>
              </w:rPr>
            </w:pPr>
            <w:r w:rsidRPr="00703437">
              <w:rPr>
                <w:rFonts w:cs="Arial"/>
                <w:b/>
                <w:bCs/>
                <w:color w:val="FFFFFF"/>
                <w:szCs w:val="20"/>
              </w:rPr>
              <w:t>14.2%</w:t>
            </w:r>
          </w:p>
        </w:tc>
      </w:tr>
    </w:tbl>
    <w:p w14:paraId="3B73CC08" w14:textId="77777777" w:rsidR="000D785F" w:rsidRDefault="000D785F" w:rsidP="000D785F">
      <w:pPr>
        <w:spacing w:before="120"/>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3002255B" w14:textId="17E47B7B" w:rsidR="008659BF" w:rsidRPr="00DB4E97" w:rsidRDefault="008659BF" w:rsidP="00DB4E97">
      <w:pPr>
        <w:keepNext/>
        <w:keepLines/>
      </w:pPr>
    </w:p>
    <w:p w14:paraId="1B7E7DA8" w14:textId="77777777" w:rsidR="00DB4E97" w:rsidRDefault="00DB4E97">
      <w:pPr>
        <w:spacing w:after="200" w:line="276" w:lineRule="auto"/>
        <w:jc w:val="left"/>
        <w:rPr>
          <w:rFonts w:eastAsiaTheme="majorEastAsia" w:cs="Arial"/>
          <w:b/>
          <w:color w:val="AF1E2D"/>
          <w:sz w:val="34"/>
          <w:szCs w:val="22"/>
        </w:rPr>
      </w:pPr>
      <w:r>
        <w:br w:type="page"/>
      </w:r>
    </w:p>
    <w:p w14:paraId="22285377" w14:textId="55F462C8" w:rsidR="00537FCF" w:rsidRPr="00086AB2" w:rsidRDefault="00537FCF" w:rsidP="008659BF">
      <w:pPr>
        <w:pStyle w:val="SWASectionnumberingheading"/>
      </w:pPr>
      <w:bookmarkStart w:id="36" w:name="_Toc150245667"/>
      <w:r w:rsidRPr="00086AB2">
        <w:lastRenderedPageBreak/>
        <w:t>Work-related fatalities</w:t>
      </w:r>
      <w:bookmarkEnd w:id="36"/>
      <w:r>
        <w:t xml:space="preserve"> </w:t>
      </w:r>
    </w:p>
    <w:p w14:paraId="0016B914" w14:textId="77777777" w:rsidR="00537FCF" w:rsidRPr="00086AB2" w:rsidRDefault="00537FCF" w:rsidP="00537FCF">
      <w:pPr>
        <w:pStyle w:val="SWASectionnum2"/>
      </w:pPr>
      <w:bookmarkStart w:id="37" w:name="_Toc150245668"/>
      <w:r w:rsidRPr="00086AB2">
        <w:t>Work-related traumatic injury fatalities</w:t>
      </w:r>
      <w:bookmarkEnd w:id="37"/>
      <w:r>
        <w:t xml:space="preserve"> </w:t>
      </w:r>
    </w:p>
    <w:p w14:paraId="02C6D444" w14:textId="77777777" w:rsidR="00537FCF" w:rsidRPr="00353513" w:rsidRDefault="00537FCF" w:rsidP="00537FCF">
      <w:pPr>
        <w:keepNext/>
        <w:keepLines/>
        <w:rPr>
          <w:i/>
        </w:rPr>
      </w:pPr>
      <w:r w:rsidRPr="00353513">
        <w:rPr>
          <w:i/>
        </w:rPr>
        <w:t>About Traumatic Injury Fatalities</w:t>
      </w:r>
    </w:p>
    <w:p w14:paraId="20C9D753" w14:textId="1711D3DA" w:rsidR="00537FCF" w:rsidRPr="00353513" w:rsidRDefault="00537FCF" w:rsidP="00537FCF">
      <w:pPr>
        <w:keepNext/>
        <w:keepLines/>
      </w:pPr>
      <w:r w:rsidRPr="00353513">
        <w:t>Data presented in this section are sourced from the Work-related Traumatic Injury Fatality (TIF) data collection. This collection sources information from workers’ compensation data, fatality notifications to the various</w:t>
      </w:r>
      <w:r w:rsidR="00BA0B6C">
        <w:t xml:space="preserve"> WHS</w:t>
      </w:r>
      <w:r w:rsidRPr="00353513">
        <w:t xml:space="preserve"> authorities and information in the National Coronial Information System (NCIS). </w:t>
      </w:r>
    </w:p>
    <w:p w14:paraId="7A564922" w14:textId="661CF925" w:rsidR="00537FCF" w:rsidRPr="00353513" w:rsidRDefault="00537FCF" w:rsidP="00DB4E97">
      <w:r w:rsidRPr="00353513">
        <w:t xml:space="preserve">Information presented </w:t>
      </w:r>
      <w:r w:rsidR="00DB4E97">
        <w:t xml:space="preserve">is based on the location where the fatality occurred.  It </w:t>
      </w:r>
      <w:r w:rsidRPr="00353513">
        <w:t xml:space="preserve">does not include fatal work-related incidents occurring on a public road. </w:t>
      </w:r>
      <w:r w:rsidR="00DB4E97">
        <w:t xml:space="preserve"> While the model WHS safety laws apply many jurisdictions separately count fatalities at a physical workplace from those that occur on public roads.</w:t>
      </w:r>
    </w:p>
    <w:p w14:paraId="5B409E01" w14:textId="77777777" w:rsidR="00537FCF" w:rsidRPr="00353513" w:rsidRDefault="00537FCF" w:rsidP="00537FCF">
      <w:r w:rsidRPr="00353513">
        <w:t xml:space="preserve">It should be noted that traumatic injury fatality data can be volatile year-on-year. </w:t>
      </w:r>
      <w:proofErr w:type="gramStart"/>
      <w:r w:rsidRPr="00353513">
        <w:t>In particular, a</w:t>
      </w:r>
      <w:proofErr w:type="gramEnd"/>
      <w:r w:rsidRPr="00353513">
        <w:t xml:space="preserve"> single incident resulting in multiple deaths can significantly impact the data in a given year, potentially masking the progress of jurisdictions in reducing or eliminating work</w:t>
      </w:r>
      <w:r w:rsidRPr="00353513">
        <w:noBreakHyphen/>
        <w:t xml:space="preserve">related traumatic injury fatalities in other areas. Further information about the TIF collection and a detailed analysis of the data can be found on the </w:t>
      </w:r>
      <w:hyperlink r:id="rId25" w:history="1">
        <w:r w:rsidRPr="00353513">
          <w:rPr>
            <w:rStyle w:val="SWALinkChar"/>
            <w:color w:val="548DD4" w:themeColor="text2" w:themeTint="99"/>
          </w:rPr>
          <w:t>Safe Work Australia</w:t>
        </w:r>
      </w:hyperlink>
      <w:r w:rsidRPr="00353513">
        <w:t xml:space="preserve"> website.</w:t>
      </w:r>
    </w:p>
    <w:p w14:paraId="134A6E0C" w14:textId="15EE6670" w:rsidR="00537FCF" w:rsidRPr="00086AB2" w:rsidRDefault="00537FCF" w:rsidP="00537FCF">
      <w:pPr>
        <w:pStyle w:val="Heading3"/>
      </w:pPr>
      <w:bookmarkStart w:id="38" w:name="_Toc150245669"/>
      <w:r w:rsidRPr="00086AB2">
        <w:t>Traumatic injury worker fatalities: number of incidents not on a public road, by state of death</w:t>
      </w:r>
      <w:r>
        <w:t xml:space="preserve"> </w:t>
      </w:r>
      <w:r w:rsidR="00DB4E97">
        <w:t>(previously i</w:t>
      </w:r>
      <w:r w:rsidR="00DB4E97" w:rsidRPr="00086AB2">
        <w:t xml:space="preserve">ndicator </w:t>
      </w:r>
      <w:fldSimple w:instr=" SEQ Indicator \* ARABIC ">
        <w:r w:rsidR="00DB4E97">
          <w:rPr>
            <w:noProof/>
          </w:rPr>
          <w:t>7</w:t>
        </w:r>
      </w:fldSimple>
      <w:r w:rsidR="00DB4E97" w:rsidRPr="00086AB2">
        <w:rPr>
          <w:noProof/>
        </w:rPr>
        <w:t>a</w:t>
      </w:r>
      <w:r w:rsidR="00DB4E97">
        <w:t>)</w:t>
      </w:r>
      <w:bookmarkEnd w:id="38"/>
    </w:p>
    <w:tbl>
      <w:tblPr>
        <w:tblW w:w="8741" w:type="dxa"/>
        <w:tblLayout w:type="fixed"/>
        <w:tblLook w:val="04A0" w:firstRow="1" w:lastRow="0" w:firstColumn="1" w:lastColumn="0" w:noHBand="0" w:noVBand="1"/>
      </w:tblPr>
      <w:tblGrid>
        <w:gridCol w:w="1980"/>
        <w:gridCol w:w="1134"/>
        <w:gridCol w:w="1134"/>
        <w:gridCol w:w="1134"/>
        <w:gridCol w:w="1134"/>
        <w:gridCol w:w="1134"/>
        <w:gridCol w:w="1091"/>
      </w:tblGrid>
      <w:tr w:rsidR="00F53AE4" w:rsidRPr="00F53AE4" w14:paraId="0F5D966D" w14:textId="77777777" w:rsidTr="00B02854">
        <w:trPr>
          <w:trHeight w:val="310"/>
        </w:trPr>
        <w:tc>
          <w:tcPr>
            <w:tcW w:w="1980" w:type="dxa"/>
            <w:tcBorders>
              <w:top w:val="single" w:sz="4" w:space="0" w:color="000000"/>
              <w:left w:val="single" w:sz="4" w:space="0" w:color="000000"/>
              <w:bottom w:val="nil"/>
              <w:right w:val="single" w:sz="4" w:space="0" w:color="FFFFFF" w:themeColor="background1"/>
            </w:tcBorders>
            <w:shd w:val="clear" w:color="000000" w:fill="AF1E2D"/>
            <w:noWrap/>
            <w:vAlign w:val="center"/>
            <w:hideMark/>
          </w:tcPr>
          <w:p w14:paraId="641E8DEF" w14:textId="77777777" w:rsidR="00F53AE4" w:rsidRPr="00F53AE4" w:rsidRDefault="00F53AE4" w:rsidP="00F53AE4">
            <w:pPr>
              <w:spacing w:after="0"/>
              <w:jc w:val="left"/>
              <w:rPr>
                <w:rFonts w:cs="Arial"/>
                <w:b/>
                <w:bCs/>
                <w:color w:val="FFFFFF"/>
                <w:szCs w:val="20"/>
              </w:rPr>
            </w:pPr>
            <w:r w:rsidRPr="00F53AE4">
              <w:rPr>
                <w:rFonts w:cs="Arial"/>
                <w:b/>
                <w:bCs/>
                <w:color w:val="FFFFFF"/>
                <w:szCs w:val="20"/>
              </w:rPr>
              <w:t>State of death</w:t>
            </w:r>
          </w:p>
        </w:tc>
        <w:tc>
          <w:tcPr>
            <w:tcW w:w="1134" w:type="dxa"/>
            <w:tcBorders>
              <w:top w:val="single" w:sz="4" w:space="0" w:color="000000"/>
              <w:left w:val="single" w:sz="4" w:space="0" w:color="FFFFFF" w:themeColor="background1"/>
              <w:right w:val="single" w:sz="4" w:space="0" w:color="FFFFFF" w:themeColor="background1"/>
            </w:tcBorders>
            <w:shd w:val="clear" w:color="000000" w:fill="AF1E2D"/>
            <w:noWrap/>
            <w:vAlign w:val="center"/>
            <w:hideMark/>
          </w:tcPr>
          <w:p w14:paraId="0337E5C4"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2017-18</w:t>
            </w:r>
          </w:p>
        </w:tc>
        <w:tc>
          <w:tcPr>
            <w:tcW w:w="1134" w:type="dxa"/>
            <w:tcBorders>
              <w:top w:val="single" w:sz="4" w:space="0" w:color="000000"/>
              <w:left w:val="single" w:sz="4" w:space="0" w:color="FFFFFF" w:themeColor="background1"/>
              <w:bottom w:val="nil"/>
              <w:right w:val="single" w:sz="4" w:space="0" w:color="FFFFFF" w:themeColor="background1"/>
            </w:tcBorders>
            <w:shd w:val="clear" w:color="000000" w:fill="AF1E2D"/>
            <w:noWrap/>
            <w:vAlign w:val="center"/>
            <w:hideMark/>
          </w:tcPr>
          <w:p w14:paraId="12763ED0"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2018-19</w:t>
            </w:r>
          </w:p>
        </w:tc>
        <w:tc>
          <w:tcPr>
            <w:tcW w:w="1134" w:type="dxa"/>
            <w:tcBorders>
              <w:top w:val="single" w:sz="4" w:space="0" w:color="000000"/>
              <w:left w:val="single" w:sz="4" w:space="0" w:color="FFFFFF" w:themeColor="background1"/>
              <w:right w:val="single" w:sz="4" w:space="0" w:color="FFFFFF" w:themeColor="background1"/>
            </w:tcBorders>
            <w:shd w:val="clear" w:color="000000" w:fill="AF1E2D"/>
            <w:noWrap/>
            <w:vAlign w:val="center"/>
            <w:hideMark/>
          </w:tcPr>
          <w:p w14:paraId="5D54644A"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2019-20</w:t>
            </w:r>
          </w:p>
        </w:tc>
        <w:tc>
          <w:tcPr>
            <w:tcW w:w="1134" w:type="dxa"/>
            <w:tcBorders>
              <w:top w:val="single" w:sz="4" w:space="0" w:color="000000"/>
              <w:left w:val="single" w:sz="4" w:space="0" w:color="FFFFFF" w:themeColor="background1"/>
              <w:bottom w:val="nil"/>
              <w:right w:val="single" w:sz="4" w:space="0" w:color="FFFFFF" w:themeColor="background1"/>
            </w:tcBorders>
            <w:shd w:val="clear" w:color="000000" w:fill="AF1E2D"/>
            <w:noWrap/>
            <w:vAlign w:val="center"/>
            <w:hideMark/>
          </w:tcPr>
          <w:p w14:paraId="09985A9B"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2020-21</w:t>
            </w:r>
          </w:p>
        </w:tc>
        <w:tc>
          <w:tcPr>
            <w:tcW w:w="1134" w:type="dxa"/>
            <w:tcBorders>
              <w:top w:val="single" w:sz="4" w:space="0" w:color="000000"/>
              <w:left w:val="single" w:sz="4" w:space="0" w:color="FFFFFF" w:themeColor="background1"/>
              <w:right w:val="single" w:sz="4" w:space="0" w:color="FFFFFF" w:themeColor="background1"/>
            </w:tcBorders>
            <w:shd w:val="clear" w:color="000000" w:fill="AF1E2D"/>
            <w:noWrap/>
            <w:vAlign w:val="center"/>
            <w:hideMark/>
          </w:tcPr>
          <w:p w14:paraId="34D8991E"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2021-22</w:t>
            </w:r>
          </w:p>
        </w:tc>
        <w:tc>
          <w:tcPr>
            <w:tcW w:w="1091" w:type="dxa"/>
            <w:tcBorders>
              <w:top w:val="single" w:sz="4" w:space="0" w:color="000000"/>
              <w:left w:val="single" w:sz="4" w:space="0" w:color="FFFFFF" w:themeColor="background1"/>
              <w:bottom w:val="nil"/>
              <w:right w:val="single" w:sz="4" w:space="0" w:color="000000"/>
            </w:tcBorders>
            <w:shd w:val="clear" w:color="000000" w:fill="AF1E2D"/>
            <w:noWrap/>
            <w:vAlign w:val="center"/>
            <w:hideMark/>
          </w:tcPr>
          <w:p w14:paraId="7476DF33"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 xml:space="preserve">5 </w:t>
            </w:r>
            <w:proofErr w:type="spellStart"/>
            <w:r w:rsidRPr="00F53AE4">
              <w:rPr>
                <w:rFonts w:cs="Arial"/>
                <w:b/>
                <w:bCs/>
                <w:color w:val="FFFFFF"/>
                <w:szCs w:val="20"/>
              </w:rPr>
              <w:t>yr</w:t>
            </w:r>
            <w:proofErr w:type="spellEnd"/>
            <w:r w:rsidRPr="00F53AE4">
              <w:rPr>
                <w:rFonts w:cs="Arial"/>
                <w:b/>
                <w:bCs/>
                <w:color w:val="FFFFFF"/>
                <w:szCs w:val="20"/>
              </w:rPr>
              <w:t xml:space="preserve"> Average</w:t>
            </w:r>
          </w:p>
        </w:tc>
      </w:tr>
      <w:tr w:rsidR="00F53AE4" w:rsidRPr="00F53AE4" w14:paraId="16A6ADBC" w14:textId="77777777" w:rsidTr="00EA24DD">
        <w:trPr>
          <w:trHeight w:val="310"/>
        </w:trPr>
        <w:tc>
          <w:tcPr>
            <w:tcW w:w="1980" w:type="dxa"/>
            <w:tcBorders>
              <w:top w:val="nil"/>
              <w:left w:val="single" w:sz="4" w:space="0" w:color="000000"/>
              <w:bottom w:val="nil"/>
              <w:right w:val="single" w:sz="4" w:space="0" w:color="FFFFFF" w:themeColor="background1"/>
            </w:tcBorders>
            <w:shd w:val="clear" w:color="000000" w:fill="EFD3D2"/>
            <w:noWrap/>
            <w:vAlign w:val="center"/>
            <w:hideMark/>
          </w:tcPr>
          <w:p w14:paraId="1460807C"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New South Wales</w:t>
            </w:r>
          </w:p>
        </w:tc>
        <w:tc>
          <w:tcPr>
            <w:tcW w:w="1134" w:type="dxa"/>
            <w:tcBorders>
              <w:top w:val="nil"/>
              <w:left w:val="single" w:sz="4" w:space="0" w:color="FFFFFF" w:themeColor="background1"/>
              <w:bottom w:val="nil"/>
              <w:right w:val="single" w:sz="4" w:space="0" w:color="FFFFFF" w:themeColor="background1"/>
            </w:tcBorders>
            <w:shd w:val="clear" w:color="000000" w:fill="EFD3D2"/>
            <w:noWrap/>
            <w:vAlign w:val="center"/>
            <w:hideMark/>
          </w:tcPr>
          <w:p w14:paraId="552DC0F4" w14:textId="77777777" w:rsidR="00F53AE4" w:rsidRPr="00F53AE4" w:rsidRDefault="00F53AE4" w:rsidP="00F53AE4">
            <w:pPr>
              <w:spacing w:after="0"/>
              <w:jc w:val="center"/>
              <w:rPr>
                <w:rFonts w:cs="Arial"/>
                <w:color w:val="000000"/>
                <w:szCs w:val="20"/>
              </w:rPr>
            </w:pPr>
            <w:r w:rsidRPr="00F53AE4">
              <w:rPr>
                <w:rFonts w:cs="Arial"/>
                <w:color w:val="000000"/>
                <w:szCs w:val="20"/>
              </w:rPr>
              <w:t>39</w:t>
            </w:r>
          </w:p>
        </w:tc>
        <w:tc>
          <w:tcPr>
            <w:tcW w:w="1134" w:type="dxa"/>
            <w:tcBorders>
              <w:top w:val="nil"/>
              <w:left w:val="single" w:sz="4" w:space="0" w:color="FFFFFF" w:themeColor="background1"/>
              <w:bottom w:val="nil"/>
              <w:right w:val="single" w:sz="4" w:space="0" w:color="FFFFFF" w:themeColor="background1"/>
            </w:tcBorders>
            <w:shd w:val="clear" w:color="000000" w:fill="EFD3D2"/>
            <w:noWrap/>
            <w:vAlign w:val="center"/>
            <w:hideMark/>
          </w:tcPr>
          <w:p w14:paraId="57503B6A" w14:textId="77777777" w:rsidR="00F53AE4" w:rsidRPr="00F53AE4" w:rsidRDefault="00F53AE4" w:rsidP="00F53AE4">
            <w:pPr>
              <w:spacing w:after="0"/>
              <w:jc w:val="center"/>
              <w:rPr>
                <w:rFonts w:cs="Arial"/>
                <w:color w:val="000000"/>
                <w:szCs w:val="20"/>
              </w:rPr>
            </w:pPr>
            <w:r w:rsidRPr="00F53AE4">
              <w:rPr>
                <w:rFonts w:cs="Arial"/>
                <w:color w:val="000000"/>
                <w:szCs w:val="20"/>
              </w:rPr>
              <w:t>31</w:t>
            </w:r>
          </w:p>
        </w:tc>
        <w:tc>
          <w:tcPr>
            <w:tcW w:w="1134" w:type="dxa"/>
            <w:tcBorders>
              <w:top w:val="nil"/>
              <w:left w:val="single" w:sz="4" w:space="0" w:color="FFFFFF" w:themeColor="background1"/>
              <w:bottom w:val="nil"/>
              <w:right w:val="single" w:sz="4" w:space="0" w:color="FFFFFF" w:themeColor="background1"/>
            </w:tcBorders>
            <w:shd w:val="clear" w:color="000000" w:fill="EFD3D2"/>
            <w:noWrap/>
            <w:vAlign w:val="center"/>
            <w:hideMark/>
          </w:tcPr>
          <w:p w14:paraId="3C042521" w14:textId="77777777" w:rsidR="00F53AE4" w:rsidRPr="00F53AE4" w:rsidRDefault="00F53AE4" w:rsidP="00F53AE4">
            <w:pPr>
              <w:spacing w:after="0"/>
              <w:jc w:val="center"/>
              <w:rPr>
                <w:rFonts w:cs="Arial"/>
                <w:color w:val="000000"/>
                <w:szCs w:val="20"/>
              </w:rPr>
            </w:pPr>
            <w:r w:rsidRPr="00F53AE4">
              <w:rPr>
                <w:rFonts w:cs="Arial"/>
                <w:color w:val="000000"/>
                <w:szCs w:val="20"/>
              </w:rPr>
              <w:t>44</w:t>
            </w:r>
          </w:p>
        </w:tc>
        <w:tc>
          <w:tcPr>
            <w:tcW w:w="1134" w:type="dxa"/>
            <w:tcBorders>
              <w:top w:val="nil"/>
              <w:left w:val="single" w:sz="4" w:space="0" w:color="FFFFFF" w:themeColor="background1"/>
              <w:bottom w:val="nil"/>
              <w:right w:val="single" w:sz="4" w:space="0" w:color="FFFFFF" w:themeColor="background1"/>
            </w:tcBorders>
            <w:shd w:val="clear" w:color="000000" w:fill="EFD3D2"/>
            <w:noWrap/>
            <w:vAlign w:val="center"/>
            <w:hideMark/>
          </w:tcPr>
          <w:p w14:paraId="061131BE" w14:textId="77777777" w:rsidR="00F53AE4" w:rsidRPr="00F53AE4" w:rsidRDefault="00F53AE4" w:rsidP="00F53AE4">
            <w:pPr>
              <w:spacing w:after="0"/>
              <w:jc w:val="center"/>
              <w:rPr>
                <w:rFonts w:cs="Arial"/>
                <w:color w:val="000000"/>
                <w:szCs w:val="20"/>
              </w:rPr>
            </w:pPr>
            <w:r w:rsidRPr="00F53AE4">
              <w:rPr>
                <w:rFonts w:cs="Arial"/>
                <w:color w:val="000000"/>
                <w:szCs w:val="20"/>
              </w:rPr>
              <w:t>33</w:t>
            </w:r>
          </w:p>
        </w:tc>
        <w:tc>
          <w:tcPr>
            <w:tcW w:w="1134" w:type="dxa"/>
            <w:tcBorders>
              <w:top w:val="nil"/>
              <w:left w:val="single" w:sz="4" w:space="0" w:color="FFFFFF" w:themeColor="background1"/>
              <w:bottom w:val="nil"/>
              <w:right w:val="single" w:sz="4" w:space="0" w:color="FFFFFF" w:themeColor="background1"/>
            </w:tcBorders>
            <w:shd w:val="clear" w:color="000000" w:fill="EFD3D2"/>
            <w:noWrap/>
            <w:vAlign w:val="center"/>
            <w:hideMark/>
          </w:tcPr>
          <w:p w14:paraId="5CADF5D4" w14:textId="77777777" w:rsidR="00F53AE4" w:rsidRPr="00F53AE4" w:rsidRDefault="00F53AE4" w:rsidP="00F53AE4">
            <w:pPr>
              <w:spacing w:after="0"/>
              <w:jc w:val="center"/>
              <w:rPr>
                <w:rFonts w:cs="Arial"/>
                <w:szCs w:val="20"/>
              </w:rPr>
            </w:pPr>
            <w:r w:rsidRPr="00F53AE4">
              <w:rPr>
                <w:rFonts w:cs="Arial"/>
                <w:szCs w:val="20"/>
              </w:rPr>
              <w:t>26</w:t>
            </w:r>
          </w:p>
        </w:tc>
        <w:tc>
          <w:tcPr>
            <w:tcW w:w="1091" w:type="dxa"/>
            <w:tcBorders>
              <w:top w:val="nil"/>
              <w:left w:val="single" w:sz="4" w:space="0" w:color="FFFFFF" w:themeColor="background1"/>
              <w:bottom w:val="nil"/>
              <w:right w:val="single" w:sz="4" w:space="0" w:color="000000"/>
            </w:tcBorders>
            <w:shd w:val="clear" w:color="000000" w:fill="808080"/>
            <w:noWrap/>
            <w:vAlign w:val="center"/>
            <w:hideMark/>
          </w:tcPr>
          <w:p w14:paraId="18BC9B83"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35</w:t>
            </w:r>
          </w:p>
        </w:tc>
      </w:tr>
      <w:tr w:rsidR="00F53AE4" w:rsidRPr="00F53AE4" w14:paraId="2D9FEE68" w14:textId="77777777" w:rsidTr="00EA24DD">
        <w:trPr>
          <w:trHeight w:val="310"/>
        </w:trPr>
        <w:tc>
          <w:tcPr>
            <w:tcW w:w="1980" w:type="dxa"/>
            <w:tcBorders>
              <w:top w:val="nil"/>
              <w:left w:val="single" w:sz="4" w:space="0" w:color="000000"/>
              <w:bottom w:val="nil"/>
              <w:right w:val="single" w:sz="4" w:space="0" w:color="FFFFFF" w:themeColor="background1"/>
            </w:tcBorders>
            <w:shd w:val="clear" w:color="000000" w:fill="FFFFFF"/>
            <w:noWrap/>
            <w:vAlign w:val="center"/>
            <w:hideMark/>
          </w:tcPr>
          <w:p w14:paraId="1363C12B"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Queensland</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74F6471D" w14:textId="77777777" w:rsidR="00F53AE4" w:rsidRPr="00F53AE4" w:rsidRDefault="00F53AE4" w:rsidP="00F53AE4">
            <w:pPr>
              <w:spacing w:after="0"/>
              <w:jc w:val="center"/>
              <w:rPr>
                <w:rFonts w:cs="Arial"/>
                <w:color w:val="000000"/>
                <w:szCs w:val="20"/>
              </w:rPr>
            </w:pPr>
            <w:r w:rsidRPr="00F53AE4">
              <w:rPr>
                <w:rFonts w:cs="Arial"/>
                <w:color w:val="000000"/>
                <w:szCs w:val="20"/>
              </w:rPr>
              <w:t>29</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27132217" w14:textId="77777777" w:rsidR="00F53AE4" w:rsidRPr="00F53AE4" w:rsidRDefault="00F53AE4" w:rsidP="00F53AE4">
            <w:pPr>
              <w:spacing w:after="0"/>
              <w:jc w:val="center"/>
              <w:rPr>
                <w:rFonts w:cs="Arial"/>
                <w:color w:val="000000"/>
                <w:szCs w:val="20"/>
              </w:rPr>
            </w:pPr>
            <w:r w:rsidRPr="00F53AE4">
              <w:rPr>
                <w:rFonts w:cs="Arial"/>
                <w:color w:val="000000"/>
                <w:szCs w:val="20"/>
              </w:rPr>
              <w:t>39</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240F9E41" w14:textId="77777777" w:rsidR="00F53AE4" w:rsidRPr="00F53AE4" w:rsidRDefault="00F53AE4" w:rsidP="00F53AE4">
            <w:pPr>
              <w:spacing w:after="0"/>
              <w:jc w:val="center"/>
              <w:rPr>
                <w:rFonts w:cs="Arial"/>
                <w:color w:val="000000"/>
                <w:szCs w:val="20"/>
              </w:rPr>
            </w:pPr>
            <w:r w:rsidRPr="00F53AE4">
              <w:rPr>
                <w:rFonts w:cs="Arial"/>
                <w:color w:val="000000"/>
                <w:szCs w:val="20"/>
              </w:rPr>
              <w:t>30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0636EB8C" w14:textId="77777777" w:rsidR="00F53AE4" w:rsidRPr="00F53AE4" w:rsidRDefault="00F53AE4" w:rsidP="00F53AE4">
            <w:pPr>
              <w:spacing w:after="0"/>
              <w:jc w:val="center"/>
              <w:rPr>
                <w:rFonts w:cs="Arial"/>
                <w:color w:val="000000"/>
                <w:szCs w:val="20"/>
              </w:rPr>
            </w:pPr>
            <w:r w:rsidRPr="00F53AE4">
              <w:rPr>
                <w:rFonts w:cs="Arial"/>
                <w:color w:val="000000"/>
                <w:szCs w:val="20"/>
              </w:rPr>
              <w:t>18</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03F71BBA" w14:textId="77777777" w:rsidR="00F53AE4" w:rsidRPr="00F53AE4" w:rsidRDefault="00F53AE4" w:rsidP="00F53AE4">
            <w:pPr>
              <w:spacing w:after="0"/>
              <w:jc w:val="center"/>
              <w:rPr>
                <w:rFonts w:cs="Arial"/>
                <w:szCs w:val="20"/>
              </w:rPr>
            </w:pPr>
            <w:r w:rsidRPr="00F53AE4">
              <w:rPr>
                <w:rFonts w:cs="Arial"/>
                <w:szCs w:val="20"/>
              </w:rPr>
              <w:t>28</w:t>
            </w:r>
          </w:p>
        </w:tc>
        <w:tc>
          <w:tcPr>
            <w:tcW w:w="1091" w:type="dxa"/>
            <w:tcBorders>
              <w:top w:val="nil"/>
              <w:left w:val="single" w:sz="4" w:space="0" w:color="FFFFFF" w:themeColor="background1"/>
              <w:bottom w:val="nil"/>
              <w:right w:val="single" w:sz="4" w:space="0" w:color="000000"/>
            </w:tcBorders>
            <w:shd w:val="clear" w:color="000000" w:fill="808080"/>
            <w:noWrap/>
            <w:vAlign w:val="center"/>
            <w:hideMark/>
          </w:tcPr>
          <w:p w14:paraId="39EF5516"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29</w:t>
            </w:r>
          </w:p>
        </w:tc>
      </w:tr>
      <w:tr w:rsidR="00F53AE4" w:rsidRPr="00F53AE4" w14:paraId="12996933" w14:textId="77777777" w:rsidTr="00EA24DD">
        <w:trPr>
          <w:trHeight w:val="310"/>
        </w:trPr>
        <w:tc>
          <w:tcPr>
            <w:tcW w:w="1980" w:type="dxa"/>
            <w:tcBorders>
              <w:top w:val="nil"/>
              <w:left w:val="single" w:sz="4" w:space="0" w:color="000000"/>
              <w:bottom w:val="nil"/>
              <w:right w:val="single" w:sz="4" w:space="0" w:color="FFFFFF" w:themeColor="background1"/>
            </w:tcBorders>
            <w:shd w:val="clear" w:color="000000" w:fill="EFD2D1"/>
            <w:noWrap/>
            <w:vAlign w:val="center"/>
            <w:hideMark/>
          </w:tcPr>
          <w:p w14:paraId="6B89D535"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Victoria</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21C552C2" w14:textId="77777777" w:rsidR="00F53AE4" w:rsidRPr="00F53AE4" w:rsidRDefault="00F53AE4" w:rsidP="00F53AE4">
            <w:pPr>
              <w:spacing w:after="0"/>
              <w:jc w:val="center"/>
              <w:rPr>
                <w:rFonts w:cs="Arial"/>
                <w:color w:val="000000"/>
                <w:szCs w:val="20"/>
              </w:rPr>
            </w:pPr>
            <w:r w:rsidRPr="00F53AE4">
              <w:rPr>
                <w:rFonts w:cs="Arial"/>
                <w:color w:val="000000"/>
                <w:szCs w:val="20"/>
              </w:rPr>
              <w:t>24</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2A04A3BC" w14:textId="77777777" w:rsidR="00F53AE4" w:rsidRPr="00F53AE4" w:rsidRDefault="00F53AE4" w:rsidP="00F53AE4">
            <w:pPr>
              <w:spacing w:after="0"/>
              <w:jc w:val="center"/>
              <w:rPr>
                <w:rFonts w:cs="Arial"/>
                <w:color w:val="000000"/>
                <w:szCs w:val="20"/>
              </w:rPr>
            </w:pPr>
            <w:r w:rsidRPr="00F53AE4">
              <w:rPr>
                <w:rFonts w:cs="Arial"/>
                <w:color w:val="000000"/>
                <w:szCs w:val="20"/>
              </w:rPr>
              <w:t>26</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0F0A332C" w14:textId="77777777" w:rsidR="00F53AE4" w:rsidRPr="00F53AE4" w:rsidRDefault="00F53AE4" w:rsidP="00F53AE4">
            <w:pPr>
              <w:spacing w:after="0"/>
              <w:jc w:val="center"/>
              <w:rPr>
                <w:rFonts w:cs="Arial"/>
                <w:color w:val="000000"/>
                <w:szCs w:val="20"/>
              </w:rPr>
            </w:pPr>
            <w:r w:rsidRPr="00F53AE4">
              <w:rPr>
                <w:rFonts w:cs="Arial"/>
                <w:color w:val="000000"/>
                <w:szCs w:val="20"/>
              </w:rPr>
              <w:t>31</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1559EA97" w14:textId="77777777" w:rsidR="00F53AE4" w:rsidRPr="00F53AE4" w:rsidRDefault="00F53AE4" w:rsidP="00F53AE4">
            <w:pPr>
              <w:spacing w:after="0"/>
              <w:jc w:val="center"/>
              <w:rPr>
                <w:rFonts w:cs="Arial"/>
                <w:color w:val="000000"/>
                <w:szCs w:val="20"/>
              </w:rPr>
            </w:pPr>
            <w:r w:rsidRPr="00F53AE4">
              <w:rPr>
                <w:rFonts w:cs="Arial"/>
                <w:color w:val="000000"/>
                <w:szCs w:val="20"/>
              </w:rPr>
              <w:t>20</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358960E6" w14:textId="77777777" w:rsidR="00F53AE4" w:rsidRPr="00F53AE4" w:rsidRDefault="00F53AE4" w:rsidP="00F53AE4">
            <w:pPr>
              <w:spacing w:after="0"/>
              <w:jc w:val="center"/>
              <w:rPr>
                <w:rFonts w:cs="Arial"/>
                <w:szCs w:val="20"/>
              </w:rPr>
            </w:pPr>
            <w:r w:rsidRPr="00F53AE4">
              <w:rPr>
                <w:rFonts w:cs="Arial"/>
                <w:szCs w:val="20"/>
              </w:rPr>
              <w:t>32</w:t>
            </w:r>
          </w:p>
        </w:tc>
        <w:tc>
          <w:tcPr>
            <w:tcW w:w="1091" w:type="dxa"/>
            <w:tcBorders>
              <w:top w:val="nil"/>
              <w:left w:val="single" w:sz="4" w:space="0" w:color="FFFFFF" w:themeColor="background1"/>
              <w:bottom w:val="nil"/>
              <w:right w:val="single" w:sz="4" w:space="0" w:color="000000"/>
            </w:tcBorders>
            <w:shd w:val="clear" w:color="000000" w:fill="808080"/>
            <w:noWrap/>
            <w:vAlign w:val="center"/>
            <w:hideMark/>
          </w:tcPr>
          <w:p w14:paraId="72571A50"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27</w:t>
            </w:r>
          </w:p>
        </w:tc>
      </w:tr>
      <w:tr w:rsidR="00F53AE4" w:rsidRPr="00F53AE4" w14:paraId="61C9C269" w14:textId="77777777" w:rsidTr="00EA24DD">
        <w:trPr>
          <w:trHeight w:val="310"/>
        </w:trPr>
        <w:tc>
          <w:tcPr>
            <w:tcW w:w="1980" w:type="dxa"/>
            <w:tcBorders>
              <w:top w:val="nil"/>
              <w:left w:val="single" w:sz="4" w:space="0" w:color="000000"/>
              <w:bottom w:val="nil"/>
              <w:right w:val="single" w:sz="4" w:space="0" w:color="FFFFFF" w:themeColor="background1"/>
            </w:tcBorders>
            <w:shd w:val="clear" w:color="000000" w:fill="FFFFFF"/>
            <w:noWrap/>
            <w:vAlign w:val="center"/>
            <w:hideMark/>
          </w:tcPr>
          <w:p w14:paraId="22658001"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Western Australia</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2AEC5BDD" w14:textId="77777777" w:rsidR="00F53AE4" w:rsidRPr="00F53AE4" w:rsidRDefault="00F53AE4" w:rsidP="00F53AE4">
            <w:pPr>
              <w:spacing w:after="0"/>
              <w:jc w:val="center"/>
              <w:rPr>
                <w:rFonts w:cs="Arial"/>
                <w:color w:val="000000"/>
                <w:szCs w:val="20"/>
              </w:rPr>
            </w:pPr>
            <w:r w:rsidRPr="00F53AE4">
              <w:rPr>
                <w:rFonts w:cs="Arial"/>
                <w:color w:val="000000"/>
                <w:szCs w:val="20"/>
              </w:rPr>
              <w:t>13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488CFB49" w14:textId="77777777" w:rsidR="00F53AE4" w:rsidRPr="00F53AE4" w:rsidRDefault="00F53AE4" w:rsidP="00F53AE4">
            <w:pPr>
              <w:spacing w:after="0"/>
              <w:jc w:val="center"/>
              <w:rPr>
                <w:rFonts w:cs="Arial"/>
                <w:color w:val="000000"/>
                <w:szCs w:val="20"/>
              </w:rPr>
            </w:pPr>
            <w:r w:rsidRPr="00F53AE4">
              <w:rPr>
                <w:rFonts w:cs="Arial"/>
                <w:color w:val="000000"/>
                <w:szCs w:val="20"/>
              </w:rPr>
              <w:t>12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6390FCBA" w14:textId="77777777" w:rsidR="00F53AE4" w:rsidRPr="00F53AE4" w:rsidRDefault="00F53AE4" w:rsidP="00F53AE4">
            <w:pPr>
              <w:spacing w:after="0"/>
              <w:jc w:val="center"/>
              <w:rPr>
                <w:rFonts w:cs="Arial"/>
                <w:color w:val="000000"/>
                <w:szCs w:val="20"/>
              </w:rPr>
            </w:pPr>
            <w:r w:rsidRPr="00F53AE4">
              <w:rPr>
                <w:rFonts w:cs="Arial"/>
                <w:color w:val="000000"/>
                <w:szCs w:val="20"/>
              </w:rPr>
              <w:t>16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4C3C6A46" w14:textId="77777777" w:rsidR="00F53AE4" w:rsidRPr="00F53AE4" w:rsidRDefault="00F53AE4" w:rsidP="00F53AE4">
            <w:pPr>
              <w:spacing w:after="0"/>
              <w:jc w:val="center"/>
              <w:rPr>
                <w:rFonts w:cs="Arial"/>
                <w:color w:val="000000"/>
                <w:szCs w:val="20"/>
              </w:rPr>
            </w:pPr>
            <w:r w:rsidRPr="00F53AE4">
              <w:rPr>
                <w:rFonts w:cs="Arial"/>
                <w:color w:val="000000"/>
                <w:szCs w:val="20"/>
              </w:rPr>
              <w:t>16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44C5DF30" w14:textId="77777777" w:rsidR="00F53AE4" w:rsidRPr="00F53AE4" w:rsidRDefault="00F53AE4" w:rsidP="00F53AE4">
            <w:pPr>
              <w:spacing w:after="0"/>
              <w:jc w:val="center"/>
              <w:rPr>
                <w:rFonts w:cs="Arial"/>
                <w:szCs w:val="20"/>
              </w:rPr>
            </w:pPr>
            <w:r w:rsidRPr="00F53AE4">
              <w:rPr>
                <w:rFonts w:cs="Arial"/>
                <w:szCs w:val="20"/>
              </w:rPr>
              <w:t>18</w:t>
            </w:r>
          </w:p>
        </w:tc>
        <w:tc>
          <w:tcPr>
            <w:tcW w:w="1091" w:type="dxa"/>
            <w:tcBorders>
              <w:top w:val="nil"/>
              <w:left w:val="single" w:sz="4" w:space="0" w:color="FFFFFF" w:themeColor="background1"/>
              <w:bottom w:val="nil"/>
              <w:right w:val="single" w:sz="4" w:space="0" w:color="000000"/>
            </w:tcBorders>
            <w:shd w:val="clear" w:color="000000" w:fill="808080"/>
            <w:noWrap/>
            <w:vAlign w:val="center"/>
            <w:hideMark/>
          </w:tcPr>
          <w:p w14:paraId="76101385"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15</w:t>
            </w:r>
          </w:p>
        </w:tc>
      </w:tr>
      <w:tr w:rsidR="00F53AE4" w:rsidRPr="00F53AE4" w14:paraId="3A1CC884" w14:textId="77777777" w:rsidTr="00EA24DD">
        <w:trPr>
          <w:trHeight w:val="310"/>
        </w:trPr>
        <w:tc>
          <w:tcPr>
            <w:tcW w:w="1980" w:type="dxa"/>
            <w:tcBorders>
              <w:top w:val="nil"/>
              <w:left w:val="single" w:sz="4" w:space="0" w:color="000000"/>
              <w:bottom w:val="nil"/>
              <w:right w:val="single" w:sz="4" w:space="0" w:color="FFFFFF" w:themeColor="background1"/>
            </w:tcBorders>
            <w:shd w:val="clear" w:color="000000" w:fill="EFD3D2"/>
            <w:noWrap/>
            <w:vAlign w:val="center"/>
            <w:hideMark/>
          </w:tcPr>
          <w:p w14:paraId="143421F8"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South Australia</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2F07E92F" w14:textId="77777777" w:rsidR="00F53AE4" w:rsidRPr="00F53AE4" w:rsidRDefault="00F53AE4" w:rsidP="00F53AE4">
            <w:pPr>
              <w:spacing w:after="0"/>
              <w:jc w:val="center"/>
              <w:rPr>
                <w:rFonts w:cs="Arial"/>
                <w:color w:val="000000"/>
                <w:szCs w:val="20"/>
              </w:rPr>
            </w:pPr>
            <w:r w:rsidRPr="00F53AE4">
              <w:rPr>
                <w:rFonts w:cs="Arial"/>
                <w:color w:val="000000"/>
                <w:szCs w:val="20"/>
              </w:rPr>
              <w:t>8</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5D896B7E" w14:textId="77777777" w:rsidR="00F53AE4" w:rsidRPr="00F53AE4" w:rsidRDefault="00F53AE4" w:rsidP="00F53AE4">
            <w:pPr>
              <w:spacing w:after="0"/>
              <w:jc w:val="center"/>
              <w:rPr>
                <w:rFonts w:cs="Arial"/>
                <w:color w:val="000000"/>
                <w:szCs w:val="20"/>
              </w:rPr>
            </w:pPr>
            <w:r w:rsidRPr="00F53AE4">
              <w:rPr>
                <w:rFonts w:cs="Arial"/>
                <w:color w:val="000000"/>
                <w:szCs w:val="20"/>
              </w:rPr>
              <w:t>6</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7BED9C2F" w14:textId="77777777" w:rsidR="00F53AE4" w:rsidRPr="00F53AE4" w:rsidRDefault="00F53AE4" w:rsidP="00F53AE4">
            <w:pPr>
              <w:spacing w:after="0"/>
              <w:jc w:val="center"/>
              <w:rPr>
                <w:rFonts w:cs="Arial"/>
                <w:color w:val="000000"/>
                <w:szCs w:val="20"/>
              </w:rPr>
            </w:pPr>
            <w:r w:rsidRPr="00F53AE4">
              <w:rPr>
                <w:rFonts w:cs="Arial"/>
                <w:color w:val="000000"/>
                <w:szCs w:val="20"/>
              </w:rPr>
              <w:t>4</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658DA7FD" w14:textId="77777777" w:rsidR="00F53AE4" w:rsidRPr="00F53AE4" w:rsidRDefault="00F53AE4" w:rsidP="00F53AE4">
            <w:pPr>
              <w:spacing w:after="0"/>
              <w:jc w:val="center"/>
              <w:rPr>
                <w:rFonts w:cs="Arial"/>
                <w:color w:val="000000"/>
                <w:szCs w:val="20"/>
              </w:rPr>
            </w:pPr>
            <w:r w:rsidRPr="00F53AE4">
              <w:rPr>
                <w:rFonts w:cs="Arial"/>
                <w:color w:val="000000"/>
                <w:szCs w:val="20"/>
              </w:rPr>
              <w:t>10</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06728AED" w14:textId="77777777" w:rsidR="00F53AE4" w:rsidRPr="00F53AE4" w:rsidRDefault="00F53AE4" w:rsidP="00F53AE4">
            <w:pPr>
              <w:spacing w:after="0"/>
              <w:jc w:val="center"/>
              <w:rPr>
                <w:rFonts w:cs="Arial"/>
                <w:szCs w:val="20"/>
              </w:rPr>
            </w:pPr>
            <w:r w:rsidRPr="00F53AE4">
              <w:rPr>
                <w:rFonts w:cs="Arial"/>
                <w:szCs w:val="20"/>
              </w:rPr>
              <w:t>9</w:t>
            </w:r>
          </w:p>
        </w:tc>
        <w:tc>
          <w:tcPr>
            <w:tcW w:w="1091" w:type="dxa"/>
            <w:tcBorders>
              <w:top w:val="nil"/>
              <w:left w:val="single" w:sz="4" w:space="0" w:color="FFFFFF" w:themeColor="background1"/>
              <w:bottom w:val="nil"/>
              <w:right w:val="single" w:sz="4" w:space="0" w:color="000000"/>
            </w:tcBorders>
            <w:shd w:val="clear" w:color="000000" w:fill="808080"/>
            <w:noWrap/>
            <w:vAlign w:val="center"/>
            <w:hideMark/>
          </w:tcPr>
          <w:p w14:paraId="73485CCB"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7</w:t>
            </w:r>
          </w:p>
        </w:tc>
      </w:tr>
      <w:tr w:rsidR="00F53AE4" w:rsidRPr="00F53AE4" w14:paraId="012D5ED3" w14:textId="77777777" w:rsidTr="00EA24DD">
        <w:trPr>
          <w:trHeight w:val="310"/>
        </w:trPr>
        <w:tc>
          <w:tcPr>
            <w:tcW w:w="1980" w:type="dxa"/>
            <w:tcBorders>
              <w:top w:val="nil"/>
              <w:left w:val="single" w:sz="4" w:space="0" w:color="000000"/>
              <w:bottom w:val="nil"/>
              <w:right w:val="single" w:sz="4" w:space="0" w:color="FFFFFF" w:themeColor="background1"/>
            </w:tcBorders>
            <w:shd w:val="clear" w:color="000000" w:fill="FFFFFF"/>
            <w:noWrap/>
            <w:vAlign w:val="center"/>
            <w:hideMark/>
          </w:tcPr>
          <w:p w14:paraId="7D4531A9"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Northern Territory</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628F2C0F" w14:textId="77777777" w:rsidR="00F53AE4" w:rsidRPr="00F53AE4" w:rsidRDefault="00F53AE4" w:rsidP="00F53AE4">
            <w:pPr>
              <w:spacing w:after="0"/>
              <w:jc w:val="center"/>
              <w:rPr>
                <w:rFonts w:cs="Arial"/>
                <w:color w:val="000000"/>
                <w:szCs w:val="20"/>
              </w:rPr>
            </w:pPr>
            <w:r w:rsidRPr="00F53AE4">
              <w:rPr>
                <w:rFonts w:cs="Arial"/>
                <w:color w:val="000000"/>
                <w:szCs w:val="20"/>
              </w:rPr>
              <w:t>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299A2B78" w14:textId="77777777" w:rsidR="00F53AE4" w:rsidRPr="00F53AE4" w:rsidRDefault="00F53AE4" w:rsidP="00F53AE4">
            <w:pPr>
              <w:spacing w:after="0"/>
              <w:jc w:val="center"/>
              <w:rPr>
                <w:rFonts w:cs="Arial"/>
                <w:color w:val="000000"/>
                <w:szCs w:val="20"/>
              </w:rPr>
            </w:pPr>
            <w:r w:rsidRPr="00F53AE4">
              <w:rPr>
                <w:rFonts w:cs="Arial"/>
                <w:color w:val="000000"/>
                <w:szCs w:val="20"/>
              </w:rPr>
              <w:t>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1A826347" w14:textId="77777777" w:rsidR="00F53AE4" w:rsidRPr="00F53AE4" w:rsidRDefault="00F53AE4" w:rsidP="00F53AE4">
            <w:pPr>
              <w:spacing w:after="0"/>
              <w:jc w:val="center"/>
              <w:rPr>
                <w:rFonts w:cs="Arial"/>
                <w:color w:val="000000"/>
                <w:szCs w:val="20"/>
              </w:rPr>
            </w:pPr>
            <w:r w:rsidRPr="00F53AE4">
              <w:rPr>
                <w:rFonts w:cs="Arial"/>
                <w:color w:val="000000"/>
                <w:szCs w:val="20"/>
              </w:rPr>
              <w:t>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1727559D" w14:textId="77777777" w:rsidR="00F53AE4" w:rsidRPr="00F53AE4" w:rsidRDefault="00F53AE4" w:rsidP="00F53AE4">
            <w:pPr>
              <w:spacing w:after="0"/>
              <w:jc w:val="center"/>
              <w:rPr>
                <w:rFonts w:cs="Arial"/>
                <w:color w:val="000000"/>
                <w:szCs w:val="20"/>
              </w:rPr>
            </w:pPr>
            <w:r w:rsidRPr="00F53AE4">
              <w:rPr>
                <w:rFonts w:cs="Arial"/>
                <w:color w:val="000000"/>
                <w:szCs w:val="20"/>
              </w:rPr>
              <w:t>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5B0C3210" w14:textId="77777777" w:rsidR="00F53AE4" w:rsidRPr="00F53AE4" w:rsidRDefault="00F53AE4" w:rsidP="00F53AE4">
            <w:pPr>
              <w:spacing w:after="0"/>
              <w:jc w:val="center"/>
              <w:rPr>
                <w:rFonts w:cs="Arial"/>
                <w:szCs w:val="20"/>
              </w:rPr>
            </w:pPr>
            <w:r w:rsidRPr="00F53AE4">
              <w:rPr>
                <w:rFonts w:cs="Arial"/>
                <w:szCs w:val="20"/>
              </w:rPr>
              <w:t>3</w:t>
            </w:r>
          </w:p>
        </w:tc>
        <w:tc>
          <w:tcPr>
            <w:tcW w:w="1091" w:type="dxa"/>
            <w:tcBorders>
              <w:top w:val="nil"/>
              <w:left w:val="single" w:sz="4" w:space="0" w:color="FFFFFF" w:themeColor="background1"/>
              <w:bottom w:val="nil"/>
              <w:right w:val="single" w:sz="4" w:space="0" w:color="000000"/>
            </w:tcBorders>
            <w:shd w:val="clear" w:color="000000" w:fill="808080"/>
            <w:noWrap/>
            <w:vAlign w:val="center"/>
            <w:hideMark/>
          </w:tcPr>
          <w:p w14:paraId="7DE97B55"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4</w:t>
            </w:r>
          </w:p>
        </w:tc>
      </w:tr>
      <w:tr w:rsidR="00F53AE4" w:rsidRPr="00F53AE4" w14:paraId="23695125" w14:textId="77777777" w:rsidTr="00EA24DD">
        <w:trPr>
          <w:trHeight w:val="310"/>
        </w:trPr>
        <w:tc>
          <w:tcPr>
            <w:tcW w:w="1980" w:type="dxa"/>
            <w:tcBorders>
              <w:top w:val="nil"/>
              <w:left w:val="single" w:sz="4" w:space="0" w:color="000000"/>
              <w:bottom w:val="nil"/>
              <w:right w:val="single" w:sz="4" w:space="0" w:color="FFFFFF" w:themeColor="background1"/>
            </w:tcBorders>
            <w:shd w:val="clear" w:color="000000" w:fill="EFD3D2"/>
            <w:noWrap/>
            <w:vAlign w:val="center"/>
            <w:hideMark/>
          </w:tcPr>
          <w:p w14:paraId="449B6A57"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Tasmania</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194B7376" w14:textId="77777777" w:rsidR="00F53AE4" w:rsidRPr="00F53AE4" w:rsidRDefault="00F53AE4" w:rsidP="00F53AE4">
            <w:pPr>
              <w:spacing w:after="0"/>
              <w:jc w:val="center"/>
              <w:rPr>
                <w:rFonts w:cs="Arial"/>
                <w:color w:val="000000"/>
                <w:szCs w:val="20"/>
              </w:rPr>
            </w:pPr>
            <w:r w:rsidRPr="00F53AE4">
              <w:rPr>
                <w:rFonts w:cs="Arial"/>
                <w:color w:val="000000"/>
                <w:szCs w:val="20"/>
              </w:rPr>
              <w:t>3</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7E992B5D" w14:textId="77777777" w:rsidR="00F53AE4" w:rsidRPr="00F53AE4" w:rsidRDefault="00F53AE4" w:rsidP="00F53AE4">
            <w:pPr>
              <w:spacing w:after="0"/>
              <w:jc w:val="center"/>
              <w:rPr>
                <w:rFonts w:cs="Arial"/>
                <w:color w:val="000000"/>
                <w:szCs w:val="20"/>
              </w:rPr>
            </w:pPr>
            <w:r w:rsidRPr="00F53AE4">
              <w:rPr>
                <w:rFonts w:cs="Arial"/>
                <w:color w:val="000000"/>
                <w:szCs w:val="20"/>
              </w:rPr>
              <w:t>2</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55218326" w14:textId="77777777" w:rsidR="00F53AE4" w:rsidRPr="00F53AE4" w:rsidRDefault="00F53AE4" w:rsidP="00F53AE4">
            <w:pPr>
              <w:spacing w:after="0"/>
              <w:jc w:val="center"/>
              <w:rPr>
                <w:rFonts w:cs="Arial"/>
                <w:color w:val="000000"/>
                <w:szCs w:val="20"/>
              </w:rPr>
            </w:pPr>
            <w:r w:rsidRPr="00F53AE4">
              <w:rPr>
                <w:rFonts w:cs="Arial"/>
                <w:color w:val="000000"/>
                <w:szCs w:val="20"/>
              </w:rPr>
              <w:t>7</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01B12618" w14:textId="77777777" w:rsidR="00F53AE4" w:rsidRPr="00F53AE4" w:rsidRDefault="00F53AE4" w:rsidP="00F53AE4">
            <w:pPr>
              <w:spacing w:after="0"/>
              <w:jc w:val="center"/>
              <w:rPr>
                <w:rFonts w:cs="Arial"/>
                <w:color w:val="000000"/>
                <w:szCs w:val="20"/>
              </w:rPr>
            </w:pPr>
            <w:r w:rsidRPr="00F53AE4">
              <w:rPr>
                <w:rFonts w:cs="Arial"/>
                <w:color w:val="000000"/>
                <w:szCs w:val="20"/>
              </w:rPr>
              <w:t>2</w:t>
            </w:r>
          </w:p>
        </w:tc>
        <w:tc>
          <w:tcPr>
            <w:tcW w:w="1134" w:type="dxa"/>
            <w:tcBorders>
              <w:top w:val="nil"/>
              <w:left w:val="single" w:sz="4" w:space="0" w:color="FFFFFF" w:themeColor="background1"/>
              <w:bottom w:val="nil"/>
              <w:right w:val="single" w:sz="4" w:space="0" w:color="FFFFFF" w:themeColor="background1"/>
            </w:tcBorders>
            <w:shd w:val="clear" w:color="000000" w:fill="EFD2D1"/>
            <w:noWrap/>
            <w:vAlign w:val="center"/>
            <w:hideMark/>
          </w:tcPr>
          <w:p w14:paraId="040F1FAB" w14:textId="77777777" w:rsidR="00F53AE4" w:rsidRPr="00F53AE4" w:rsidRDefault="00F53AE4" w:rsidP="00F53AE4">
            <w:pPr>
              <w:spacing w:after="0"/>
              <w:jc w:val="center"/>
              <w:rPr>
                <w:rFonts w:cs="Arial"/>
                <w:szCs w:val="20"/>
              </w:rPr>
            </w:pPr>
            <w:r w:rsidRPr="00F53AE4">
              <w:rPr>
                <w:rFonts w:cs="Arial"/>
                <w:szCs w:val="20"/>
              </w:rPr>
              <w:t>5</w:t>
            </w:r>
          </w:p>
        </w:tc>
        <w:tc>
          <w:tcPr>
            <w:tcW w:w="1091" w:type="dxa"/>
            <w:tcBorders>
              <w:top w:val="nil"/>
              <w:left w:val="single" w:sz="4" w:space="0" w:color="FFFFFF" w:themeColor="background1"/>
              <w:bottom w:val="nil"/>
              <w:right w:val="single" w:sz="4" w:space="0" w:color="000000"/>
            </w:tcBorders>
            <w:shd w:val="clear" w:color="000000" w:fill="808080"/>
            <w:noWrap/>
            <w:vAlign w:val="center"/>
            <w:hideMark/>
          </w:tcPr>
          <w:p w14:paraId="533E9866"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4</w:t>
            </w:r>
          </w:p>
        </w:tc>
      </w:tr>
      <w:tr w:rsidR="00F53AE4" w:rsidRPr="00F53AE4" w14:paraId="7E3CF727" w14:textId="77777777" w:rsidTr="00EA24DD">
        <w:trPr>
          <w:trHeight w:val="310"/>
        </w:trPr>
        <w:tc>
          <w:tcPr>
            <w:tcW w:w="1980" w:type="dxa"/>
            <w:tcBorders>
              <w:top w:val="nil"/>
              <w:left w:val="single" w:sz="4" w:space="0" w:color="000000"/>
              <w:bottom w:val="nil"/>
              <w:right w:val="single" w:sz="4" w:space="0" w:color="FFFFFF" w:themeColor="background1"/>
            </w:tcBorders>
            <w:shd w:val="clear" w:color="000000" w:fill="FFFFFF"/>
            <w:noWrap/>
            <w:vAlign w:val="center"/>
            <w:hideMark/>
          </w:tcPr>
          <w:p w14:paraId="1A5AC9AB"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Australian Capital Territory</w:t>
            </w:r>
          </w:p>
        </w:tc>
        <w:tc>
          <w:tcPr>
            <w:tcW w:w="1134" w:type="dxa"/>
            <w:tcBorders>
              <w:top w:val="nil"/>
              <w:left w:val="single" w:sz="4" w:space="0" w:color="FFFFFF" w:themeColor="background1"/>
              <w:bottom w:val="nil"/>
              <w:right w:val="single" w:sz="4" w:space="0" w:color="FFFFFF" w:themeColor="background1"/>
            </w:tcBorders>
            <w:shd w:val="clear" w:color="000000" w:fill="FFFFFF"/>
            <w:noWrap/>
            <w:vAlign w:val="center"/>
            <w:hideMark/>
          </w:tcPr>
          <w:p w14:paraId="27F754B4" w14:textId="1F63614E" w:rsidR="00F53AE4" w:rsidRPr="00F53AE4" w:rsidRDefault="00287D97" w:rsidP="00F53AE4">
            <w:pPr>
              <w:spacing w:after="0"/>
              <w:jc w:val="center"/>
              <w:rPr>
                <w:rFonts w:cs="Arial"/>
                <w:color w:val="000000"/>
                <w:szCs w:val="20"/>
              </w:rPr>
            </w:pPr>
            <w:r>
              <w:rPr>
                <w:rFonts w:cs="Arial"/>
                <w:color w:val="000000"/>
                <w:szCs w:val="20"/>
              </w:rPr>
              <w:t>0</w:t>
            </w:r>
            <w:r w:rsidR="00F53AE4" w:rsidRPr="00F53AE4">
              <w:rPr>
                <w:rFonts w:cs="Arial"/>
                <w:color w:val="000000"/>
                <w:szCs w:val="20"/>
              </w:rPr>
              <w:t> </w:t>
            </w:r>
          </w:p>
        </w:tc>
        <w:tc>
          <w:tcPr>
            <w:tcW w:w="1134" w:type="dxa"/>
            <w:tcBorders>
              <w:top w:val="nil"/>
              <w:left w:val="single" w:sz="4" w:space="0" w:color="FFFFFF" w:themeColor="background1"/>
              <w:bottom w:val="nil"/>
              <w:right w:val="single" w:sz="4" w:space="0" w:color="FFFFFF" w:themeColor="background1"/>
            </w:tcBorders>
            <w:shd w:val="clear" w:color="000000" w:fill="FFFFFF"/>
            <w:noWrap/>
            <w:vAlign w:val="center"/>
            <w:hideMark/>
          </w:tcPr>
          <w:p w14:paraId="56793DFA" w14:textId="77777777" w:rsidR="00F53AE4" w:rsidRPr="00F53AE4" w:rsidRDefault="00F53AE4" w:rsidP="00F53AE4">
            <w:pPr>
              <w:spacing w:after="0"/>
              <w:jc w:val="center"/>
              <w:rPr>
                <w:rFonts w:cs="Arial"/>
                <w:color w:val="000000"/>
                <w:szCs w:val="20"/>
              </w:rPr>
            </w:pPr>
            <w:r w:rsidRPr="00F53AE4">
              <w:rPr>
                <w:rFonts w:cs="Arial"/>
                <w:color w:val="000000"/>
                <w:szCs w:val="20"/>
              </w:rPr>
              <w:t>1</w:t>
            </w:r>
          </w:p>
        </w:tc>
        <w:tc>
          <w:tcPr>
            <w:tcW w:w="1134" w:type="dxa"/>
            <w:tcBorders>
              <w:top w:val="nil"/>
              <w:left w:val="single" w:sz="4" w:space="0" w:color="FFFFFF" w:themeColor="background1"/>
              <w:bottom w:val="nil"/>
              <w:right w:val="single" w:sz="4" w:space="0" w:color="FFFFFF" w:themeColor="background1"/>
            </w:tcBorders>
            <w:shd w:val="clear" w:color="000000" w:fill="FFFFFF"/>
            <w:noWrap/>
            <w:vAlign w:val="center"/>
            <w:hideMark/>
          </w:tcPr>
          <w:p w14:paraId="044B8FB1" w14:textId="77777777" w:rsidR="00F53AE4" w:rsidRPr="00F53AE4" w:rsidRDefault="00F53AE4" w:rsidP="00F53AE4">
            <w:pPr>
              <w:spacing w:after="0"/>
              <w:jc w:val="center"/>
              <w:rPr>
                <w:rFonts w:cs="Arial"/>
                <w:color w:val="000000"/>
                <w:szCs w:val="20"/>
              </w:rPr>
            </w:pPr>
            <w:r w:rsidRPr="00F53AE4">
              <w:rPr>
                <w:rFonts w:cs="Arial"/>
                <w:color w:val="000000"/>
                <w:szCs w:val="20"/>
              </w:rPr>
              <w:t>2</w:t>
            </w:r>
          </w:p>
        </w:tc>
        <w:tc>
          <w:tcPr>
            <w:tcW w:w="1134" w:type="dxa"/>
            <w:tcBorders>
              <w:top w:val="nil"/>
              <w:left w:val="single" w:sz="4" w:space="0" w:color="FFFFFF" w:themeColor="background1"/>
              <w:bottom w:val="nil"/>
              <w:right w:val="single" w:sz="4" w:space="0" w:color="FFFFFF" w:themeColor="background1"/>
            </w:tcBorders>
            <w:shd w:val="clear" w:color="000000" w:fill="FFFFFF"/>
            <w:noWrap/>
            <w:vAlign w:val="center"/>
            <w:hideMark/>
          </w:tcPr>
          <w:p w14:paraId="61D4340B" w14:textId="43DF5104" w:rsidR="00F53AE4" w:rsidRPr="00F53AE4" w:rsidRDefault="00287D97" w:rsidP="00F53AE4">
            <w:pPr>
              <w:spacing w:after="0"/>
              <w:jc w:val="center"/>
              <w:rPr>
                <w:rFonts w:cs="Arial"/>
                <w:color w:val="000000"/>
                <w:szCs w:val="20"/>
              </w:rPr>
            </w:pPr>
            <w:r>
              <w:rPr>
                <w:rFonts w:cs="Arial"/>
                <w:color w:val="000000"/>
                <w:szCs w:val="20"/>
              </w:rPr>
              <w:t>0</w:t>
            </w:r>
            <w:r w:rsidR="00F53AE4" w:rsidRPr="00F53AE4">
              <w:rPr>
                <w:rFonts w:cs="Arial"/>
                <w:color w:val="000000"/>
                <w:szCs w:val="20"/>
              </w:rPr>
              <w:t> </w:t>
            </w:r>
          </w:p>
        </w:tc>
        <w:tc>
          <w:tcPr>
            <w:tcW w:w="1134" w:type="dxa"/>
            <w:tcBorders>
              <w:top w:val="nil"/>
              <w:left w:val="single" w:sz="4" w:space="0" w:color="FFFFFF" w:themeColor="background1"/>
              <w:bottom w:val="nil"/>
              <w:right w:val="single" w:sz="4" w:space="0" w:color="FFFFFF" w:themeColor="background1"/>
            </w:tcBorders>
            <w:shd w:val="clear" w:color="000000" w:fill="FFFFFF"/>
            <w:noWrap/>
            <w:vAlign w:val="center"/>
            <w:hideMark/>
          </w:tcPr>
          <w:p w14:paraId="24DD736C" w14:textId="77777777" w:rsidR="00F53AE4" w:rsidRPr="00F53AE4" w:rsidRDefault="00F53AE4" w:rsidP="00F53AE4">
            <w:pPr>
              <w:spacing w:after="0"/>
              <w:jc w:val="center"/>
              <w:rPr>
                <w:rFonts w:cs="Arial"/>
                <w:szCs w:val="20"/>
              </w:rPr>
            </w:pPr>
            <w:r w:rsidRPr="00F53AE4">
              <w:rPr>
                <w:rFonts w:cs="Arial"/>
                <w:szCs w:val="20"/>
              </w:rPr>
              <w:t>1</w:t>
            </w:r>
          </w:p>
        </w:tc>
        <w:tc>
          <w:tcPr>
            <w:tcW w:w="1091" w:type="dxa"/>
            <w:tcBorders>
              <w:top w:val="nil"/>
              <w:left w:val="single" w:sz="4" w:space="0" w:color="FFFFFF" w:themeColor="background1"/>
              <w:bottom w:val="nil"/>
              <w:right w:val="single" w:sz="4" w:space="0" w:color="000000"/>
            </w:tcBorders>
            <w:shd w:val="clear" w:color="000000" w:fill="808080"/>
            <w:noWrap/>
            <w:vAlign w:val="center"/>
            <w:hideMark/>
          </w:tcPr>
          <w:p w14:paraId="5EA1BF83"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w:t>
            </w:r>
          </w:p>
        </w:tc>
      </w:tr>
      <w:tr w:rsidR="00F53AE4" w:rsidRPr="00F53AE4" w14:paraId="3BFDB0E3" w14:textId="77777777" w:rsidTr="00EA24DD">
        <w:trPr>
          <w:trHeight w:val="310"/>
        </w:trPr>
        <w:tc>
          <w:tcPr>
            <w:tcW w:w="1980" w:type="dxa"/>
            <w:tcBorders>
              <w:top w:val="nil"/>
              <w:left w:val="single" w:sz="4" w:space="0" w:color="000000"/>
              <w:bottom w:val="single" w:sz="4" w:space="0" w:color="000000"/>
              <w:right w:val="single" w:sz="4" w:space="0" w:color="FFFFFF" w:themeColor="background1"/>
            </w:tcBorders>
            <w:shd w:val="clear" w:color="000000" w:fill="808080"/>
            <w:noWrap/>
            <w:vAlign w:val="center"/>
            <w:hideMark/>
          </w:tcPr>
          <w:p w14:paraId="03E288F6" w14:textId="3C821387" w:rsidR="00F53AE4" w:rsidRPr="00F53AE4" w:rsidRDefault="00DB4E97" w:rsidP="00F53AE4">
            <w:pPr>
              <w:spacing w:after="0"/>
              <w:jc w:val="left"/>
              <w:rPr>
                <w:rFonts w:cs="Arial"/>
                <w:b/>
                <w:bCs/>
                <w:color w:val="FFFFFF"/>
                <w:szCs w:val="20"/>
              </w:rPr>
            </w:pPr>
            <w:r>
              <w:rPr>
                <w:rFonts w:cs="Arial"/>
                <w:b/>
                <w:bCs/>
                <w:color w:val="FFFFFF"/>
                <w:szCs w:val="20"/>
              </w:rPr>
              <w:t xml:space="preserve">Australian </w:t>
            </w:r>
            <w:r w:rsidR="00C16567">
              <w:rPr>
                <w:rFonts w:cs="Arial"/>
                <w:b/>
                <w:bCs/>
                <w:color w:val="FFFFFF"/>
                <w:szCs w:val="20"/>
              </w:rPr>
              <w:t>t</w:t>
            </w:r>
            <w:r>
              <w:rPr>
                <w:rFonts w:cs="Arial"/>
                <w:b/>
                <w:bCs/>
                <w:color w:val="FFFFFF"/>
                <w:szCs w:val="20"/>
              </w:rPr>
              <w:t>otal</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24ACE729"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121</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182CE6AA"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121</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0D99C846"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140</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5FA4E7F7"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103</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5463D3F5"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122</w:t>
            </w:r>
          </w:p>
        </w:tc>
        <w:tc>
          <w:tcPr>
            <w:tcW w:w="1091" w:type="dxa"/>
            <w:tcBorders>
              <w:top w:val="nil"/>
              <w:left w:val="single" w:sz="4" w:space="0" w:color="FFFFFF" w:themeColor="background1"/>
              <w:bottom w:val="single" w:sz="4" w:space="0" w:color="000000"/>
              <w:right w:val="single" w:sz="4" w:space="0" w:color="000000"/>
            </w:tcBorders>
            <w:shd w:val="clear" w:color="000000" w:fill="808080"/>
            <w:noWrap/>
            <w:vAlign w:val="center"/>
            <w:hideMark/>
          </w:tcPr>
          <w:p w14:paraId="14C7470E"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121</w:t>
            </w:r>
          </w:p>
        </w:tc>
      </w:tr>
    </w:tbl>
    <w:p w14:paraId="3D4D81A4" w14:textId="0DE92C73" w:rsidR="000D785F" w:rsidRDefault="000D785F" w:rsidP="000D785F">
      <w:pPr>
        <w:spacing w:before="120"/>
      </w:pPr>
      <w:r>
        <w:rPr>
          <w:sz w:val="16"/>
          <w:szCs w:val="20"/>
        </w:rPr>
        <w:t>ACT – covers workers who were fatally injured in the Australian Capital Territory.</w:t>
      </w:r>
    </w:p>
    <w:p w14:paraId="78C2E5B2" w14:textId="67F2E5F5" w:rsidR="00510225" w:rsidRDefault="00510225" w:rsidP="00510225"/>
    <w:p w14:paraId="25AB323E" w14:textId="470CB149" w:rsidR="00510225" w:rsidRPr="00086AB2" w:rsidRDefault="00510225" w:rsidP="00510225">
      <w:pPr>
        <w:pStyle w:val="Heading3"/>
      </w:pPr>
      <w:bookmarkStart w:id="39" w:name="_Toc150245670"/>
      <w:r w:rsidRPr="00086AB2">
        <w:t>Traumatic injury fatalities: incidence rate per 100,000 workers for incidents not on a public road, by state of death</w:t>
      </w:r>
      <w:r>
        <w:t xml:space="preserve"> </w:t>
      </w:r>
      <w:r w:rsidR="00DB4E97">
        <w:t>(previously i</w:t>
      </w:r>
      <w:r w:rsidR="00DB4E97" w:rsidRPr="00086AB2">
        <w:t>ndicator 7b</w:t>
      </w:r>
      <w:r w:rsidR="00DB4E97">
        <w:t>)</w:t>
      </w:r>
      <w:bookmarkEnd w:id="39"/>
    </w:p>
    <w:tbl>
      <w:tblPr>
        <w:tblW w:w="8761" w:type="dxa"/>
        <w:tblLayout w:type="fixed"/>
        <w:tblLook w:val="04A0" w:firstRow="1" w:lastRow="0" w:firstColumn="1" w:lastColumn="0" w:noHBand="0" w:noVBand="1"/>
      </w:tblPr>
      <w:tblGrid>
        <w:gridCol w:w="1980"/>
        <w:gridCol w:w="1134"/>
        <w:gridCol w:w="1134"/>
        <w:gridCol w:w="1134"/>
        <w:gridCol w:w="1134"/>
        <w:gridCol w:w="1134"/>
        <w:gridCol w:w="1111"/>
      </w:tblGrid>
      <w:tr w:rsidR="00EA24DD" w:rsidRPr="00F53AE4" w14:paraId="1AA656C5" w14:textId="77777777" w:rsidTr="00EA24DD">
        <w:trPr>
          <w:trHeight w:val="287"/>
        </w:trPr>
        <w:tc>
          <w:tcPr>
            <w:tcW w:w="1980" w:type="dxa"/>
            <w:tcBorders>
              <w:top w:val="single" w:sz="4" w:space="0" w:color="000000"/>
              <w:left w:val="single" w:sz="4" w:space="0" w:color="000000"/>
              <w:bottom w:val="nil"/>
              <w:right w:val="single" w:sz="4" w:space="0" w:color="FFFFFF" w:themeColor="background1"/>
            </w:tcBorders>
            <w:shd w:val="clear" w:color="000000" w:fill="AF1E2D"/>
            <w:noWrap/>
            <w:vAlign w:val="center"/>
            <w:hideMark/>
          </w:tcPr>
          <w:p w14:paraId="6A408C84" w14:textId="77777777" w:rsidR="00F53AE4" w:rsidRPr="00F53AE4" w:rsidRDefault="00F53AE4" w:rsidP="00F53AE4">
            <w:pPr>
              <w:spacing w:after="0"/>
              <w:jc w:val="left"/>
              <w:rPr>
                <w:rFonts w:cs="Arial"/>
                <w:b/>
                <w:bCs/>
                <w:color w:val="FFFFFF"/>
                <w:szCs w:val="20"/>
              </w:rPr>
            </w:pPr>
            <w:r w:rsidRPr="00F53AE4">
              <w:rPr>
                <w:rFonts w:cs="Arial"/>
                <w:b/>
                <w:bCs/>
                <w:color w:val="FFFFFF"/>
                <w:szCs w:val="20"/>
              </w:rPr>
              <w:t>State of death</w:t>
            </w:r>
          </w:p>
        </w:tc>
        <w:tc>
          <w:tcPr>
            <w:tcW w:w="1134" w:type="dxa"/>
            <w:tcBorders>
              <w:top w:val="single" w:sz="4" w:space="0" w:color="000000"/>
              <w:left w:val="single" w:sz="4" w:space="0" w:color="FFFFFF" w:themeColor="background1"/>
              <w:bottom w:val="nil"/>
              <w:right w:val="single" w:sz="4" w:space="0" w:color="FFFFFF" w:themeColor="background1"/>
            </w:tcBorders>
            <w:shd w:val="clear" w:color="000000" w:fill="AF1E2D"/>
            <w:noWrap/>
            <w:vAlign w:val="center"/>
            <w:hideMark/>
          </w:tcPr>
          <w:p w14:paraId="495B97DE"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2017-18</w:t>
            </w:r>
          </w:p>
        </w:tc>
        <w:tc>
          <w:tcPr>
            <w:tcW w:w="1134" w:type="dxa"/>
            <w:tcBorders>
              <w:top w:val="single" w:sz="4" w:space="0" w:color="000000"/>
              <w:left w:val="single" w:sz="4" w:space="0" w:color="FFFFFF" w:themeColor="background1"/>
              <w:bottom w:val="nil"/>
              <w:right w:val="single" w:sz="4" w:space="0" w:color="FFFFFF" w:themeColor="background1"/>
            </w:tcBorders>
            <w:shd w:val="clear" w:color="000000" w:fill="AF1E2D"/>
            <w:noWrap/>
            <w:vAlign w:val="center"/>
            <w:hideMark/>
          </w:tcPr>
          <w:p w14:paraId="59DDF969"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2018-19</w:t>
            </w:r>
          </w:p>
        </w:tc>
        <w:tc>
          <w:tcPr>
            <w:tcW w:w="1134" w:type="dxa"/>
            <w:tcBorders>
              <w:top w:val="single" w:sz="4" w:space="0" w:color="000000"/>
              <w:left w:val="single" w:sz="4" w:space="0" w:color="FFFFFF" w:themeColor="background1"/>
              <w:bottom w:val="nil"/>
              <w:right w:val="single" w:sz="4" w:space="0" w:color="FFFFFF" w:themeColor="background1"/>
            </w:tcBorders>
            <w:shd w:val="clear" w:color="000000" w:fill="AF1E2D"/>
            <w:noWrap/>
            <w:vAlign w:val="center"/>
            <w:hideMark/>
          </w:tcPr>
          <w:p w14:paraId="33B62236"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2019-20</w:t>
            </w:r>
          </w:p>
        </w:tc>
        <w:tc>
          <w:tcPr>
            <w:tcW w:w="1134" w:type="dxa"/>
            <w:tcBorders>
              <w:top w:val="single" w:sz="4" w:space="0" w:color="000000"/>
              <w:left w:val="single" w:sz="4" w:space="0" w:color="FFFFFF" w:themeColor="background1"/>
              <w:bottom w:val="nil"/>
              <w:right w:val="single" w:sz="4" w:space="0" w:color="FFFFFF" w:themeColor="background1"/>
            </w:tcBorders>
            <w:shd w:val="clear" w:color="000000" w:fill="AF1E2D"/>
            <w:noWrap/>
            <w:vAlign w:val="center"/>
            <w:hideMark/>
          </w:tcPr>
          <w:p w14:paraId="6D4B4F20"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2020-21</w:t>
            </w:r>
          </w:p>
        </w:tc>
        <w:tc>
          <w:tcPr>
            <w:tcW w:w="1134" w:type="dxa"/>
            <w:tcBorders>
              <w:top w:val="single" w:sz="4" w:space="0" w:color="000000"/>
              <w:left w:val="single" w:sz="4" w:space="0" w:color="FFFFFF" w:themeColor="background1"/>
              <w:bottom w:val="nil"/>
              <w:right w:val="single" w:sz="4" w:space="0" w:color="FFFFFF" w:themeColor="background1"/>
            </w:tcBorders>
            <w:shd w:val="clear" w:color="000000" w:fill="AF1E2D"/>
            <w:noWrap/>
            <w:vAlign w:val="center"/>
            <w:hideMark/>
          </w:tcPr>
          <w:p w14:paraId="7D2772D6"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2021-22</w:t>
            </w:r>
          </w:p>
        </w:tc>
        <w:tc>
          <w:tcPr>
            <w:tcW w:w="1111" w:type="dxa"/>
            <w:tcBorders>
              <w:top w:val="single" w:sz="4" w:space="0" w:color="000000"/>
              <w:left w:val="single" w:sz="4" w:space="0" w:color="FFFFFF" w:themeColor="background1"/>
              <w:bottom w:val="nil"/>
              <w:right w:val="single" w:sz="4" w:space="0" w:color="000000"/>
            </w:tcBorders>
            <w:shd w:val="clear" w:color="000000" w:fill="AF1E2D"/>
            <w:noWrap/>
            <w:vAlign w:val="center"/>
            <w:hideMark/>
          </w:tcPr>
          <w:p w14:paraId="6D6D7174"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 xml:space="preserve">5 </w:t>
            </w:r>
            <w:proofErr w:type="spellStart"/>
            <w:r w:rsidRPr="00F53AE4">
              <w:rPr>
                <w:rFonts w:cs="Arial"/>
                <w:b/>
                <w:bCs/>
                <w:color w:val="FFFFFF"/>
                <w:szCs w:val="20"/>
              </w:rPr>
              <w:t>yr</w:t>
            </w:r>
            <w:proofErr w:type="spellEnd"/>
            <w:r w:rsidRPr="00F53AE4">
              <w:rPr>
                <w:rFonts w:cs="Arial"/>
                <w:b/>
                <w:bCs/>
                <w:color w:val="FFFFFF"/>
                <w:szCs w:val="20"/>
              </w:rPr>
              <w:t xml:space="preserve"> Average</w:t>
            </w:r>
          </w:p>
        </w:tc>
      </w:tr>
      <w:tr w:rsidR="00EA24DD" w:rsidRPr="00F53AE4" w14:paraId="27AF7039" w14:textId="77777777" w:rsidTr="00B02854">
        <w:trPr>
          <w:trHeight w:val="287"/>
        </w:trPr>
        <w:tc>
          <w:tcPr>
            <w:tcW w:w="1980" w:type="dxa"/>
            <w:tcBorders>
              <w:top w:val="nil"/>
              <w:left w:val="single" w:sz="4" w:space="0" w:color="000000"/>
              <w:bottom w:val="nil"/>
              <w:right w:val="single" w:sz="4" w:space="0" w:color="FFFFFF" w:themeColor="background1"/>
            </w:tcBorders>
            <w:shd w:val="clear" w:color="auto" w:fill="EFD3D2"/>
            <w:noWrap/>
            <w:vAlign w:val="center"/>
            <w:hideMark/>
          </w:tcPr>
          <w:p w14:paraId="7A5B7F22"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New South Wales</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232924B4" w14:textId="77777777" w:rsidR="00F53AE4" w:rsidRPr="00F53AE4" w:rsidRDefault="00F53AE4" w:rsidP="00F53AE4">
            <w:pPr>
              <w:spacing w:after="0"/>
              <w:jc w:val="center"/>
              <w:rPr>
                <w:rFonts w:cs="Arial"/>
                <w:color w:val="000000"/>
                <w:szCs w:val="20"/>
              </w:rPr>
            </w:pPr>
            <w:r w:rsidRPr="00F53AE4">
              <w:rPr>
                <w:rFonts w:cs="Arial"/>
                <w:color w:val="000000"/>
                <w:szCs w:val="20"/>
              </w:rPr>
              <w:t>1.0</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7C71CFD9" w14:textId="77777777" w:rsidR="00F53AE4" w:rsidRPr="00F53AE4" w:rsidRDefault="00F53AE4" w:rsidP="00F53AE4">
            <w:pPr>
              <w:spacing w:after="0"/>
              <w:jc w:val="center"/>
              <w:rPr>
                <w:rFonts w:cs="Arial"/>
                <w:color w:val="000000"/>
                <w:szCs w:val="20"/>
              </w:rPr>
            </w:pPr>
            <w:r w:rsidRPr="00F53AE4">
              <w:rPr>
                <w:rFonts w:cs="Arial"/>
                <w:color w:val="000000"/>
                <w:szCs w:val="20"/>
              </w:rPr>
              <w:t>0.8</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353FBC75" w14:textId="77777777" w:rsidR="00F53AE4" w:rsidRPr="00F53AE4" w:rsidRDefault="00F53AE4" w:rsidP="00F53AE4">
            <w:pPr>
              <w:spacing w:after="0"/>
              <w:jc w:val="center"/>
              <w:rPr>
                <w:rFonts w:cs="Arial"/>
                <w:color w:val="000000"/>
                <w:szCs w:val="20"/>
              </w:rPr>
            </w:pPr>
            <w:r w:rsidRPr="00F53AE4">
              <w:rPr>
                <w:rFonts w:cs="Arial"/>
                <w:color w:val="000000"/>
                <w:szCs w:val="20"/>
              </w:rPr>
              <w:t>1.1</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692D9B75" w14:textId="77777777" w:rsidR="00F53AE4" w:rsidRPr="00F53AE4" w:rsidRDefault="00F53AE4" w:rsidP="00F53AE4">
            <w:pPr>
              <w:spacing w:after="0"/>
              <w:jc w:val="center"/>
              <w:rPr>
                <w:rFonts w:cs="Arial"/>
                <w:color w:val="000000"/>
                <w:szCs w:val="20"/>
              </w:rPr>
            </w:pPr>
            <w:r w:rsidRPr="00F53AE4">
              <w:rPr>
                <w:rFonts w:cs="Arial"/>
                <w:color w:val="000000"/>
                <w:szCs w:val="20"/>
              </w:rPr>
              <w:t>0.8</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15B1D83C" w14:textId="77777777" w:rsidR="00F53AE4" w:rsidRPr="00F53AE4" w:rsidRDefault="00F53AE4" w:rsidP="00F53AE4">
            <w:pPr>
              <w:spacing w:after="0"/>
              <w:jc w:val="center"/>
              <w:rPr>
                <w:rFonts w:cs="Arial"/>
                <w:szCs w:val="20"/>
              </w:rPr>
            </w:pPr>
            <w:r w:rsidRPr="00F53AE4">
              <w:rPr>
                <w:rFonts w:cs="Arial"/>
                <w:szCs w:val="20"/>
              </w:rPr>
              <w:t>0.6</w:t>
            </w:r>
          </w:p>
        </w:tc>
        <w:tc>
          <w:tcPr>
            <w:tcW w:w="1111" w:type="dxa"/>
            <w:tcBorders>
              <w:top w:val="nil"/>
              <w:left w:val="single" w:sz="4" w:space="0" w:color="FFFFFF" w:themeColor="background1"/>
              <w:bottom w:val="nil"/>
              <w:right w:val="single" w:sz="4" w:space="0" w:color="000000"/>
            </w:tcBorders>
            <w:shd w:val="clear" w:color="000000" w:fill="808080"/>
            <w:noWrap/>
            <w:vAlign w:val="center"/>
            <w:hideMark/>
          </w:tcPr>
          <w:p w14:paraId="62C12B85"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0.9</w:t>
            </w:r>
          </w:p>
        </w:tc>
      </w:tr>
      <w:tr w:rsidR="003B679E" w:rsidRPr="00F53AE4" w14:paraId="7ED8B5BB" w14:textId="77777777" w:rsidTr="00B02854">
        <w:trPr>
          <w:trHeight w:val="287"/>
        </w:trPr>
        <w:tc>
          <w:tcPr>
            <w:tcW w:w="1980" w:type="dxa"/>
            <w:tcBorders>
              <w:top w:val="nil"/>
              <w:left w:val="single" w:sz="4" w:space="0" w:color="000000"/>
              <w:bottom w:val="nil"/>
              <w:right w:val="single" w:sz="4" w:space="0" w:color="FFFFFF" w:themeColor="background1"/>
            </w:tcBorders>
            <w:shd w:val="clear" w:color="auto" w:fill="auto"/>
            <w:noWrap/>
            <w:vAlign w:val="center"/>
            <w:hideMark/>
          </w:tcPr>
          <w:p w14:paraId="632AD60D" w14:textId="77777777" w:rsidR="003B679E" w:rsidRPr="00F53AE4" w:rsidRDefault="003B679E" w:rsidP="0039720B">
            <w:pPr>
              <w:spacing w:after="0"/>
              <w:jc w:val="left"/>
              <w:rPr>
                <w:rFonts w:cs="Arial"/>
                <w:b/>
                <w:bCs/>
                <w:color w:val="000000"/>
                <w:szCs w:val="20"/>
              </w:rPr>
            </w:pPr>
            <w:r>
              <w:rPr>
                <w:rFonts w:cs="Arial"/>
                <w:b/>
                <w:bCs/>
                <w:color w:val="000000"/>
                <w:szCs w:val="20"/>
              </w:rPr>
              <w:t>Queensland</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7D629160" w14:textId="77777777" w:rsidR="003B679E" w:rsidRPr="00F53AE4" w:rsidRDefault="003B679E" w:rsidP="0039720B">
            <w:pPr>
              <w:spacing w:after="0"/>
              <w:jc w:val="center"/>
              <w:rPr>
                <w:rFonts w:cs="Arial"/>
                <w:color w:val="000000"/>
                <w:szCs w:val="20"/>
              </w:rPr>
            </w:pPr>
            <w:r w:rsidRPr="00F53AE4">
              <w:rPr>
                <w:rFonts w:cs="Arial"/>
                <w:color w:val="000000"/>
                <w:szCs w:val="20"/>
              </w:rPr>
              <w:t>1.2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49701C37" w14:textId="77777777" w:rsidR="003B679E" w:rsidRPr="00F53AE4" w:rsidRDefault="003B679E" w:rsidP="0039720B">
            <w:pPr>
              <w:spacing w:after="0"/>
              <w:jc w:val="center"/>
              <w:rPr>
                <w:rFonts w:cs="Arial"/>
                <w:color w:val="000000"/>
                <w:szCs w:val="20"/>
              </w:rPr>
            </w:pPr>
            <w:r w:rsidRPr="00F53AE4">
              <w:rPr>
                <w:rFonts w:cs="Arial"/>
                <w:color w:val="000000"/>
                <w:szCs w:val="20"/>
              </w:rPr>
              <w:t>1.6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6CF74C0F" w14:textId="77777777" w:rsidR="003B679E" w:rsidRPr="00F53AE4" w:rsidRDefault="003B679E" w:rsidP="0039720B">
            <w:pPr>
              <w:spacing w:after="0"/>
              <w:jc w:val="center"/>
              <w:rPr>
                <w:rFonts w:cs="Arial"/>
                <w:color w:val="000000"/>
                <w:szCs w:val="20"/>
              </w:rPr>
            </w:pPr>
            <w:r w:rsidRPr="00F53AE4">
              <w:rPr>
                <w:rFonts w:cs="Arial"/>
                <w:color w:val="000000"/>
                <w:szCs w:val="20"/>
              </w:rPr>
              <w:t>1.2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662DD2BC" w14:textId="77777777" w:rsidR="003B679E" w:rsidRPr="00F53AE4" w:rsidRDefault="003B679E" w:rsidP="0039720B">
            <w:pPr>
              <w:spacing w:after="0"/>
              <w:jc w:val="center"/>
              <w:rPr>
                <w:rFonts w:cs="Arial"/>
                <w:color w:val="000000"/>
                <w:szCs w:val="20"/>
              </w:rPr>
            </w:pPr>
            <w:r w:rsidRPr="00F53AE4">
              <w:rPr>
                <w:rFonts w:cs="Arial"/>
                <w:color w:val="000000"/>
                <w:szCs w:val="20"/>
              </w:rPr>
              <w:t>0.7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06FA56BC" w14:textId="77777777" w:rsidR="003B679E" w:rsidRPr="00F53AE4" w:rsidRDefault="003B679E" w:rsidP="0039720B">
            <w:pPr>
              <w:spacing w:after="0"/>
              <w:jc w:val="center"/>
              <w:rPr>
                <w:rFonts w:cs="Arial"/>
                <w:szCs w:val="20"/>
              </w:rPr>
            </w:pPr>
            <w:r w:rsidRPr="00F53AE4">
              <w:rPr>
                <w:rFonts w:cs="Arial"/>
                <w:szCs w:val="20"/>
              </w:rPr>
              <w:t>1.0</w:t>
            </w:r>
          </w:p>
        </w:tc>
        <w:tc>
          <w:tcPr>
            <w:tcW w:w="1111" w:type="dxa"/>
            <w:tcBorders>
              <w:top w:val="nil"/>
              <w:left w:val="single" w:sz="4" w:space="0" w:color="FFFFFF" w:themeColor="background1"/>
              <w:bottom w:val="nil"/>
              <w:right w:val="single" w:sz="4" w:space="0" w:color="000000"/>
            </w:tcBorders>
            <w:shd w:val="clear" w:color="000000" w:fill="808080"/>
            <w:noWrap/>
            <w:vAlign w:val="center"/>
            <w:hideMark/>
          </w:tcPr>
          <w:p w14:paraId="4CDE1501" w14:textId="77777777" w:rsidR="003B679E" w:rsidRPr="00F53AE4" w:rsidRDefault="003B679E" w:rsidP="0039720B">
            <w:pPr>
              <w:spacing w:after="0"/>
              <w:jc w:val="center"/>
              <w:rPr>
                <w:rFonts w:cs="Arial"/>
                <w:b/>
                <w:bCs/>
                <w:color w:val="FFFFFF"/>
                <w:szCs w:val="20"/>
              </w:rPr>
            </w:pPr>
            <w:r w:rsidRPr="00F53AE4">
              <w:rPr>
                <w:rFonts w:cs="Arial"/>
                <w:b/>
                <w:bCs/>
                <w:color w:val="FFFFFF"/>
                <w:szCs w:val="20"/>
              </w:rPr>
              <w:t>1.1</w:t>
            </w:r>
          </w:p>
        </w:tc>
      </w:tr>
      <w:tr w:rsidR="00EA24DD" w:rsidRPr="00F53AE4" w14:paraId="097B6C03" w14:textId="77777777" w:rsidTr="00B02854">
        <w:trPr>
          <w:trHeight w:val="287"/>
        </w:trPr>
        <w:tc>
          <w:tcPr>
            <w:tcW w:w="1980" w:type="dxa"/>
            <w:tcBorders>
              <w:top w:val="nil"/>
              <w:left w:val="single" w:sz="4" w:space="0" w:color="000000"/>
              <w:bottom w:val="nil"/>
              <w:right w:val="single" w:sz="4" w:space="0" w:color="FFFFFF" w:themeColor="background1"/>
            </w:tcBorders>
            <w:shd w:val="clear" w:color="auto" w:fill="EFD3D2"/>
            <w:noWrap/>
            <w:vAlign w:val="center"/>
            <w:hideMark/>
          </w:tcPr>
          <w:p w14:paraId="10710B8F" w14:textId="497BF5B4" w:rsidR="00F53AE4" w:rsidRPr="00F53AE4" w:rsidRDefault="00381499" w:rsidP="00F53AE4">
            <w:pPr>
              <w:spacing w:after="0"/>
              <w:jc w:val="left"/>
              <w:rPr>
                <w:rFonts w:cs="Arial"/>
                <w:b/>
                <w:bCs/>
                <w:color w:val="000000"/>
                <w:szCs w:val="20"/>
              </w:rPr>
            </w:pPr>
            <w:r>
              <w:rPr>
                <w:rFonts w:cs="Arial"/>
                <w:b/>
                <w:bCs/>
                <w:color w:val="000000"/>
                <w:szCs w:val="20"/>
              </w:rPr>
              <w:t>Victoria</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5BD5200D" w14:textId="77777777" w:rsidR="00F53AE4" w:rsidRPr="00F53AE4" w:rsidRDefault="00F53AE4" w:rsidP="00F53AE4">
            <w:pPr>
              <w:spacing w:after="0"/>
              <w:jc w:val="center"/>
              <w:rPr>
                <w:rFonts w:cs="Arial"/>
                <w:color w:val="000000"/>
                <w:szCs w:val="20"/>
              </w:rPr>
            </w:pPr>
            <w:r w:rsidRPr="00F53AE4">
              <w:rPr>
                <w:rFonts w:cs="Arial"/>
                <w:color w:val="000000"/>
                <w:szCs w:val="20"/>
              </w:rPr>
              <w:t>0.7</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1A3B67EB" w14:textId="77777777" w:rsidR="00F53AE4" w:rsidRPr="00F53AE4" w:rsidRDefault="00F53AE4" w:rsidP="00F53AE4">
            <w:pPr>
              <w:spacing w:after="0"/>
              <w:jc w:val="center"/>
              <w:rPr>
                <w:rFonts w:cs="Arial"/>
                <w:color w:val="000000"/>
                <w:szCs w:val="20"/>
              </w:rPr>
            </w:pPr>
            <w:r w:rsidRPr="00F53AE4">
              <w:rPr>
                <w:rFonts w:cs="Arial"/>
                <w:color w:val="000000"/>
                <w:szCs w:val="20"/>
              </w:rPr>
              <w:t>0.8</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740E6A00" w14:textId="77777777" w:rsidR="00F53AE4" w:rsidRPr="00F53AE4" w:rsidRDefault="00F53AE4" w:rsidP="00F53AE4">
            <w:pPr>
              <w:spacing w:after="0"/>
              <w:jc w:val="center"/>
              <w:rPr>
                <w:rFonts w:cs="Arial"/>
                <w:color w:val="000000"/>
                <w:szCs w:val="20"/>
              </w:rPr>
            </w:pPr>
            <w:r w:rsidRPr="00F53AE4">
              <w:rPr>
                <w:rFonts w:cs="Arial"/>
                <w:color w:val="000000"/>
                <w:szCs w:val="20"/>
              </w:rPr>
              <w:t>0.9</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680574B7" w14:textId="77777777" w:rsidR="00F53AE4" w:rsidRPr="00F53AE4" w:rsidRDefault="00F53AE4" w:rsidP="00F53AE4">
            <w:pPr>
              <w:spacing w:after="0"/>
              <w:jc w:val="center"/>
              <w:rPr>
                <w:rFonts w:cs="Arial"/>
                <w:color w:val="000000"/>
                <w:szCs w:val="20"/>
              </w:rPr>
            </w:pPr>
            <w:r w:rsidRPr="00F53AE4">
              <w:rPr>
                <w:rFonts w:cs="Arial"/>
                <w:color w:val="000000"/>
                <w:szCs w:val="20"/>
              </w:rPr>
              <w:t>0.6</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345B6DEB" w14:textId="77777777" w:rsidR="00F53AE4" w:rsidRPr="00F53AE4" w:rsidRDefault="00F53AE4" w:rsidP="00F53AE4">
            <w:pPr>
              <w:spacing w:after="0"/>
              <w:jc w:val="center"/>
              <w:rPr>
                <w:rFonts w:cs="Arial"/>
                <w:szCs w:val="20"/>
              </w:rPr>
            </w:pPr>
            <w:r w:rsidRPr="00F53AE4">
              <w:rPr>
                <w:rFonts w:cs="Arial"/>
                <w:szCs w:val="20"/>
              </w:rPr>
              <w:t>0.9</w:t>
            </w:r>
          </w:p>
        </w:tc>
        <w:tc>
          <w:tcPr>
            <w:tcW w:w="1111" w:type="dxa"/>
            <w:tcBorders>
              <w:top w:val="nil"/>
              <w:left w:val="single" w:sz="4" w:space="0" w:color="FFFFFF" w:themeColor="background1"/>
              <w:bottom w:val="nil"/>
              <w:right w:val="single" w:sz="4" w:space="0" w:color="000000"/>
            </w:tcBorders>
            <w:shd w:val="clear" w:color="000000" w:fill="808080"/>
            <w:noWrap/>
            <w:vAlign w:val="center"/>
            <w:hideMark/>
          </w:tcPr>
          <w:p w14:paraId="32949741"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0.8</w:t>
            </w:r>
          </w:p>
        </w:tc>
      </w:tr>
      <w:tr w:rsidR="003B679E" w:rsidRPr="00F53AE4" w14:paraId="18A50012" w14:textId="77777777" w:rsidTr="00B02854">
        <w:trPr>
          <w:trHeight w:val="287"/>
        </w:trPr>
        <w:tc>
          <w:tcPr>
            <w:tcW w:w="1980" w:type="dxa"/>
            <w:tcBorders>
              <w:top w:val="nil"/>
              <w:left w:val="single" w:sz="4" w:space="0" w:color="000000"/>
              <w:bottom w:val="nil"/>
              <w:right w:val="single" w:sz="4" w:space="0" w:color="FFFFFF" w:themeColor="background1"/>
            </w:tcBorders>
            <w:shd w:val="clear" w:color="auto" w:fill="auto"/>
            <w:noWrap/>
            <w:vAlign w:val="center"/>
            <w:hideMark/>
          </w:tcPr>
          <w:p w14:paraId="111183E7" w14:textId="77777777" w:rsidR="003B679E" w:rsidRPr="00F53AE4" w:rsidRDefault="003B679E" w:rsidP="00D73B14">
            <w:pPr>
              <w:spacing w:after="0"/>
              <w:jc w:val="left"/>
              <w:rPr>
                <w:rFonts w:cs="Arial"/>
                <w:b/>
                <w:bCs/>
                <w:color w:val="000000"/>
                <w:szCs w:val="20"/>
              </w:rPr>
            </w:pPr>
            <w:r>
              <w:rPr>
                <w:rFonts w:cs="Arial"/>
                <w:b/>
                <w:bCs/>
                <w:color w:val="000000"/>
                <w:szCs w:val="20"/>
              </w:rPr>
              <w:t xml:space="preserve">Western </w:t>
            </w:r>
            <w:r w:rsidRPr="00F53AE4">
              <w:rPr>
                <w:rFonts w:cs="Arial"/>
                <w:b/>
                <w:bCs/>
                <w:color w:val="000000"/>
                <w:szCs w:val="20"/>
              </w:rPr>
              <w:t>Australia</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67FDE385" w14:textId="77777777" w:rsidR="003B679E" w:rsidRPr="00F53AE4" w:rsidRDefault="003B679E" w:rsidP="00D73B14">
            <w:pPr>
              <w:spacing w:after="0"/>
              <w:jc w:val="center"/>
              <w:rPr>
                <w:rFonts w:cs="Arial"/>
                <w:color w:val="000000"/>
                <w:szCs w:val="20"/>
              </w:rPr>
            </w:pPr>
            <w:r w:rsidRPr="00F53AE4">
              <w:rPr>
                <w:rFonts w:cs="Arial"/>
                <w:color w:val="000000"/>
                <w:szCs w:val="20"/>
              </w:rPr>
              <w:t>1.0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120E64C6" w14:textId="77777777" w:rsidR="003B679E" w:rsidRPr="00F53AE4" w:rsidRDefault="003B679E" w:rsidP="00D73B14">
            <w:pPr>
              <w:spacing w:after="0"/>
              <w:jc w:val="center"/>
              <w:rPr>
                <w:rFonts w:cs="Arial"/>
                <w:color w:val="000000"/>
                <w:szCs w:val="20"/>
              </w:rPr>
            </w:pPr>
            <w:r w:rsidRPr="00F53AE4">
              <w:rPr>
                <w:rFonts w:cs="Arial"/>
                <w:color w:val="000000"/>
                <w:szCs w:val="20"/>
              </w:rPr>
              <w:t>0.9</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4D3CB248" w14:textId="77777777" w:rsidR="003B679E" w:rsidRPr="00F53AE4" w:rsidRDefault="003B679E" w:rsidP="00D73B14">
            <w:pPr>
              <w:spacing w:after="0"/>
              <w:jc w:val="center"/>
              <w:rPr>
                <w:rFonts w:cs="Arial"/>
                <w:color w:val="000000"/>
                <w:szCs w:val="20"/>
              </w:rPr>
            </w:pPr>
            <w:r w:rsidRPr="00F53AE4">
              <w:rPr>
                <w:rFonts w:cs="Arial"/>
                <w:color w:val="000000"/>
                <w:szCs w:val="20"/>
              </w:rPr>
              <w:t>1.2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2C905065" w14:textId="77777777" w:rsidR="003B679E" w:rsidRPr="00F53AE4" w:rsidRDefault="003B679E" w:rsidP="00D73B14">
            <w:pPr>
              <w:spacing w:after="0"/>
              <w:jc w:val="center"/>
              <w:rPr>
                <w:rFonts w:cs="Arial"/>
                <w:color w:val="000000"/>
                <w:szCs w:val="20"/>
              </w:rPr>
            </w:pPr>
            <w:r w:rsidRPr="00F53AE4">
              <w:rPr>
                <w:rFonts w:cs="Arial"/>
                <w:color w:val="000000"/>
                <w:szCs w:val="20"/>
              </w:rPr>
              <w:t>1.1</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3768FD2C" w14:textId="77777777" w:rsidR="003B679E" w:rsidRPr="00F53AE4" w:rsidRDefault="003B679E" w:rsidP="00D73B14">
            <w:pPr>
              <w:spacing w:after="0"/>
              <w:jc w:val="center"/>
              <w:rPr>
                <w:rFonts w:cs="Arial"/>
                <w:szCs w:val="20"/>
              </w:rPr>
            </w:pPr>
            <w:r w:rsidRPr="00F53AE4">
              <w:rPr>
                <w:rFonts w:cs="Arial"/>
                <w:szCs w:val="20"/>
              </w:rPr>
              <w:t>1.2</w:t>
            </w:r>
          </w:p>
        </w:tc>
        <w:tc>
          <w:tcPr>
            <w:tcW w:w="1111" w:type="dxa"/>
            <w:tcBorders>
              <w:top w:val="nil"/>
              <w:left w:val="single" w:sz="4" w:space="0" w:color="FFFFFF" w:themeColor="background1"/>
              <w:bottom w:val="nil"/>
              <w:right w:val="single" w:sz="4" w:space="0" w:color="000000"/>
            </w:tcBorders>
            <w:shd w:val="clear" w:color="000000" w:fill="808080"/>
            <w:noWrap/>
            <w:vAlign w:val="center"/>
            <w:hideMark/>
          </w:tcPr>
          <w:p w14:paraId="51C54997" w14:textId="77777777" w:rsidR="003B679E" w:rsidRPr="00F53AE4" w:rsidRDefault="003B679E" w:rsidP="00D73B14">
            <w:pPr>
              <w:spacing w:after="0"/>
              <w:jc w:val="center"/>
              <w:rPr>
                <w:rFonts w:cs="Arial"/>
                <w:b/>
                <w:bCs/>
                <w:color w:val="FFFFFF"/>
                <w:szCs w:val="20"/>
              </w:rPr>
            </w:pPr>
            <w:r w:rsidRPr="00F53AE4">
              <w:rPr>
                <w:rFonts w:cs="Arial"/>
                <w:b/>
                <w:bCs/>
                <w:color w:val="FFFFFF"/>
                <w:szCs w:val="20"/>
              </w:rPr>
              <w:t>1.1</w:t>
            </w:r>
          </w:p>
        </w:tc>
      </w:tr>
      <w:tr w:rsidR="00EA24DD" w:rsidRPr="00F53AE4" w14:paraId="6A599501" w14:textId="77777777" w:rsidTr="00B02854">
        <w:trPr>
          <w:trHeight w:val="287"/>
        </w:trPr>
        <w:tc>
          <w:tcPr>
            <w:tcW w:w="1980" w:type="dxa"/>
            <w:tcBorders>
              <w:top w:val="nil"/>
              <w:left w:val="single" w:sz="4" w:space="0" w:color="000000"/>
              <w:bottom w:val="nil"/>
              <w:right w:val="single" w:sz="4" w:space="0" w:color="FFFFFF" w:themeColor="background1"/>
            </w:tcBorders>
            <w:shd w:val="clear" w:color="auto" w:fill="EFD3D2"/>
            <w:noWrap/>
            <w:vAlign w:val="center"/>
            <w:hideMark/>
          </w:tcPr>
          <w:p w14:paraId="2585262D" w14:textId="64A33B21" w:rsidR="00F53AE4" w:rsidRPr="00F53AE4" w:rsidRDefault="00381499" w:rsidP="00F53AE4">
            <w:pPr>
              <w:spacing w:after="0"/>
              <w:jc w:val="left"/>
              <w:rPr>
                <w:rFonts w:cs="Arial"/>
                <w:b/>
                <w:bCs/>
                <w:color w:val="000000"/>
                <w:szCs w:val="20"/>
              </w:rPr>
            </w:pPr>
            <w:r>
              <w:rPr>
                <w:rFonts w:cs="Arial"/>
                <w:b/>
                <w:bCs/>
                <w:color w:val="000000"/>
                <w:szCs w:val="20"/>
              </w:rPr>
              <w:t xml:space="preserve">South </w:t>
            </w:r>
            <w:r w:rsidR="00F53AE4" w:rsidRPr="00F53AE4">
              <w:rPr>
                <w:rFonts w:cs="Arial"/>
                <w:b/>
                <w:bCs/>
                <w:color w:val="000000"/>
                <w:szCs w:val="20"/>
              </w:rPr>
              <w:t>Australia</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001645AC" w14:textId="77777777" w:rsidR="00F53AE4" w:rsidRPr="00F53AE4" w:rsidRDefault="00F53AE4" w:rsidP="00F53AE4">
            <w:pPr>
              <w:spacing w:after="0"/>
              <w:jc w:val="center"/>
              <w:rPr>
                <w:rFonts w:cs="Arial"/>
                <w:color w:val="000000"/>
                <w:szCs w:val="20"/>
              </w:rPr>
            </w:pPr>
            <w:r w:rsidRPr="00F53AE4">
              <w:rPr>
                <w:rFonts w:cs="Arial"/>
                <w:color w:val="000000"/>
                <w:szCs w:val="20"/>
              </w:rPr>
              <w:t>0.9</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717B893C" w14:textId="77777777" w:rsidR="00F53AE4" w:rsidRPr="00F53AE4" w:rsidRDefault="00F53AE4" w:rsidP="00F53AE4">
            <w:pPr>
              <w:spacing w:after="0"/>
              <w:jc w:val="center"/>
              <w:rPr>
                <w:rFonts w:cs="Arial"/>
                <w:color w:val="000000"/>
                <w:szCs w:val="20"/>
              </w:rPr>
            </w:pPr>
            <w:r w:rsidRPr="00F53AE4">
              <w:rPr>
                <w:rFonts w:cs="Arial"/>
                <w:color w:val="000000"/>
                <w:szCs w:val="20"/>
              </w:rPr>
              <w:t>0.7</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2B4CB404" w14:textId="77777777" w:rsidR="00F53AE4" w:rsidRPr="00F53AE4" w:rsidRDefault="00F53AE4" w:rsidP="00F53AE4">
            <w:pPr>
              <w:spacing w:after="0"/>
              <w:jc w:val="center"/>
              <w:rPr>
                <w:rFonts w:cs="Arial"/>
                <w:color w:val="000000"/>
                <w:szCs w:val="20"/>
              </w:rPr>
            </w:pPr>
            <w:r w:rsidRPr="00F53AE4">
              <w:rPr>
                <w:rFonts w:cs="Arial"/>
                <w:color w:val="000000"/>
                <w:szCs w:val="20"/>
              </w:rPr>
              <w:t>0.5</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38A2D040" w14:textId="77777777" w:rsidR="00F53AE4" w:rsidRPr="00F53AE4" w:rsidRDefault="00F53AE4" w:rsidP="00F53AE4">
            <w:pPr>
              <w:spacing w:after="0"/>
              <w:jc w:val="center"/>
              <w:rPr>
                <w:rFonts w:cs="Arial"/>
                <w:color w:val="000000"/>
                <w:szCs w:val="20"/>
              </w:rPr>
            </w:pPr>
            <w:r w:rsidRPr="00F53AE4">
              <w:rPr>
                <w:rFonts w:cs="Arial"/>
                <w:color w:val="000000"/>
                <w:szCs w:val="20"/>
              </w:rPr>
              <w:t>1.1</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591BF613" w14:textId="77777777" w:rsidR="00F53AE4" w:rsidRPr="00F53AE4" w:rsidRDefault="00F53AE4" w:rsidP="00F53AE4">
            <w:pPr>
              <w:spacing w:after="0"/>
              <w:jc w:val="center"/>
              <w:rPr>
                <w:rFonts w:cs="Arial"/>
                <w:szCs w:val="20"/>
              </w:rPr>
            </w:pPr>
            <w:r w:rsidRPr="00F53AE4">
              <w:rPr>
                <w:rFonts w:cs="Arial"/>
                <w:szCs w:val="20"/>
              </w:rPr>
              <w:t>1.0</w:t>
            </w:r>
          </w:p>
        </w:tc>
        <w:tc>
          <w:tcPr>
            <w:tcW w:w="1111" w:type="dxa"/>
            <w:tcBorders>
              <w:top w:val="nil"/>
              <w:left w:val="single" w:sz="4" w:space="0" w:color="FFFFFF" w:themeColor="background1"/>
              <w:bottom w:val="nil"/>
              <w:right w:val="single" w:sz="4" w:space="0" w:color="000000"/>
            </w:tcBorders>
            <w:shd w:val="clear" w:color="000000" w:fill="808080"/>
            <w:noWrap/>
            <w:vAlign w:val="center"/>
            <w:hideMark/>
          </w:tcPr>
          <w:p w14:paraId="20BC140A"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0.9</w:t>
            </w:r>
          </w:p>
        </w:tc>
      </w:tr>
      <w:tr w:rsidR="00EA24DD" w:rsidRPr="00F53AE4" w14:paraId="36FB0244" w14:textId="77777777" w:rsidTr="00B02854">
        <w:trPr>
          <w:trHeight w:val="287"/>
        </w:trPr>
        <w:tc>
          <w:tcPr>
            <w:tcW w:w="1980" w:type="dxa"/>
            <w:tcBorders>
              <w:top w:val="nil"/>
              <w:left w:val="single" w:sz="4" w:space="0" w:color="000000"/>
              <w:bottom w:val="nil"/>
              <w:right w:val="single" w:sz="4" w:space="0" w:color="FFFFFF" w:themeColor="background1"/>
            </w:tcBorders>
            <w:shd w:val="clear" w:color="auto" w:fill="auto"/>
            <w:noWrap/>
            <w:vAlign w:val="center"/>
            <w:hideMark/>
          </w:tcPr>
          <w:p w14:paraId="5556BD81" w14:textId="0DB74029" w:rsidR="00F53AE4" w:rsidRPr="00F53AE4" w:rsidRDefault="00381499" w:rsidP="00F53AE4">
            <w:pPr>
              <w:spacing w:after="0"/>
              <w:jc w:val="left"/>
              <w:rPr>
                <w:rFonts w:cs="Arial"/>
                <w:b/>
                <w:bCs/>
                <w:color w:val="000000"/>
                <w:szCs w:val="20"/>
              </w:rPr>
            </w:pPr>
            <w:r>
              <w:rPr>
                <w:rFonts w:cs="Arial"/>
                <w:b/>
                <w:bCs/>
                <w:color w:val="000000"/>
                <w:szCs w:val="20"/>
              </w:rPr>
              <w:t>Northern Territory</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7BB0E077" w14:textId="77777777" w:rsidR="00F53AE4" w:rsidRPr="00F53AE4" w:rsidRDefault="00F53AE4" w:rsidP="00F53AE4">
            <w:pPr>
              <w:spacing w:after="0"/>
              <w:jc w:val="center"/>
              <w:rPr>
                <w:rFonts w:cs="Arial"/>
                <w:color w:val="000000"/>
                <w:szCs w:val="20"/>
              </w:rPr>
            </w:pPr>
            <w:r w:rsidRPr="00F53AE4">
              <w:rPr>
                <w:rFonts w:cs="Arial"/>
                <w:color w:val="000000"/>
                <w:szCs w:val="20"/>
              </w:rPr>
              <w:t>3.6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4BA036EE" w14:textId="77777777" w:rsidR="00F53AE4" w:rsidRPr="00F53AE4" w:rsidRDefault="00F53AE4" w:rsidP="00F53AE4">
            <w:pPr>
              <w:spacing w:after="0"/>
              <w:jc w:val="center"/>
              <w:rPr>
                <w:rFonts w:cs="Arial"/>
                <w:color w:val="000000"/>
                <w:szCs w:val="20"/>
              </w:rPr>
            </w:pPr>
            <w:r w:rsidRPr="00F53AE4">
              <w:rPr>
                <w:rFonts w:cs="Arial"/>
                <w:color w:val="000000"/>
                <w:szCs w:val="20"/>
              </w:rPr>
              <w:t>3.0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5C68327C" w14:textId="77777777" w:rsidR="00F53AE4" w:rsidRPr="00F53AE4" w:rsidRDefault="00F53AE4" w:rsidP="00F53AE4">
            <w:pPr>
              <w:spacing w:after="0"/>
              <w:jc w:val="center"/>
              <w:rPr>
                <w:rFonts w:cs="Arial"/>
                <w:color w:val="000000"/>
                <w:szCs w:val="20"/>
              </w:rPr>
            </w:pPr>
            <w:r w:rsidRPr="00F53AE4">
              <w:rPr>
                <w:rFonts w:cs="Arial"/>
                <w:color w:val="000000"/>
                <w:szCs w:val="20"/>
              </w:rPr>
              <w:t>4.5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246599B6" w14:textId="77777777" w:rsidR="00F53AE4" w:rsidRPr="00F53AE4" w:rsidRDefault="00F53AE4" w:rsidP="00F53AE4">
            <w:pPr>
              <w:spacing w:after="0"/>
              <w:jc w:val="center"/>
              <w:rPr>
                <w:rFonts w:cs="Arial"/>
                <w:color w:val="000000"/>
                <w:szCs w:val="20"/>
              </w:rPr>
            </w:pPr>
            <w:r w:rsidRPr="00F53AE4">
              <w:rPr>
                <w:rFonts w:cs="Arial"/>
                <w:color w:val="000000"/>
                <w:szCs w:val="20"/>
              </w:rPr>
              <w:t>3.0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68C6ACB6" w14:textId="77777777" w:rsidR="00F53AE4" w:rsidRPr="00F53AE4" w:rsidRDefault="00F53AE4" w:rsidP="00F53AE4">
            <w:pPr>
              <w:spacing w:after="0"/>
              <w:jc w:val="center"/>
              <w:rPr>
                <w:rFonts w:cs="Arial"/>
                <w:szCs w:val="20"/>
              </w:rPr>
            </w:pPr>
            <w:r w:rsidRPr="00F53AE4">
              <w:rPr>
                <w:rFonts w:cs="Arial"/>
                <w:szCs w:val="20"/>
              </w:rPr>
              <w:t>2.2</w:t>
            </w:r>
          </w:p>
        </w:tc>
        <w:tc>
          <w:tcPr>
            <w:tcW w:w="1111" w:type="dxa"/>
            <w:tcBorders>
              <w:top w:val="nil"/>
              <w:left w:val="single" w:sz="4" w:space="0" w:color="FFFFFF" w:themeColor="background1"/>
              <w:bottom w:val="nil"/>
              <w:right w:val="single" w:sz="4" w:space="0" w:color="000000"/>
            </w:tcBorders>
            <w:shd w:val="clear" w:color="000000" w:fill="808080"/>
            <w:noWrap/>
            <w:vAlign w:val="center"/>
            <w:hideMark/>
          </w:tcPr>
          <w:p w14:paraId="28DCBAE7"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3.3</w:t>
            </w:r>
          </w:p>
        </w:tc>
      </w:tr>
      <w:tr w:rsidR="003B679E" w:rsidRPr="00F53AE4" w14:paraId="711F68FD" w14:textId="77777777" w:rsidTr="00B02854">
        <w:trPr>
          <w:trHeight w:val="287"/>
        </w:trPr>
        <w:tc>
          <w:tcPr>
            <w:tcW w:w="1980" w:type="dxa"/>
            <w:tcBorders>
              <w:top w:val="nil"/>
              <w:left w:val="single" w:sz="4" w:space="0" w:color="000000"/>
              <w:bottom w:val="nil"/>
              <w:right w:val="single" w:sz="4" w:space="0" w:color="FFFFFF" w:themeColor="background1"/>
            </w:tcBorders>
            <w:shd w:val="clear" w:color="auto" w:fill="EFD3D2"/>
            <w:noWrap/>
            <w:vAlign w:val="center"/>
            <w:hideMark/>
          </w:tcPr>
          <w:p w14:paraId="37AE7399" w14:textId="77777777" w:rsidR="003B679E" w:rsidRPr="00F53AE4" w:rsidRDefault="003B679E" w:rsidP="00187743">
            <w:pPr>
              <w:spacing w:after="0"/>
              <w:jc w:val="left"/>
              <w:rPr>
                <w:rFonts w:cs="Arial"/>
                <w:b/>
                <w:bCs/>
                <w:color w:val="000000"/>
                <w:szCs w:val="20"/>
              </w:rPr>
            </w:pPr>
            <w:r>
              <w:rPr>
                <w:rFonts w:cs="Arial"/>
                <w:b/>
                <w:bCs/>
                <w:color w:val="000000"/>
                <w:szCs w:val="20"/>
              </w:rPr>
              <w:t>Tasmania</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3A958A9A" w14:textId="77777777" w:rsidR="003B679E" w:rsidRPr="00F53AE4" w:rsidRDefault="003B679E" w:rsidP="00187743">
            <w:pPr>
              <w:spacing w:after="0"/>
              <w:jc w:val="center"/>
              <w:rPr>
                <w:rFonts w:cs="Arial"/>
                <w:color w:val="000000"/>
                <w:szCs w:val="20"/>
              </w:rPr>
            </w:pPr>
            <w:r w:rsidRPr="00F53AE4">
              <w:rPr>
                <w:rFonts w:cs="Arial"/>
                <w:color w:val="000000"/>
                <w:szCs w:val="20"/>
              </w:rPr>
              <w:t>1.2</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15F2FD81" w14:textId="77777777" w:rsidR="003B679E" w:rsidRPr="00F53AE4" w:rsidRDefault="003B679E" w:rsidP="00187743">
            <w:pPr>
              <w:spacing w:after="0"/>
              <w:jc w:val="center"/>
              <w:rPr>
                <w:rFonts w:cs="Arial"/>
                <w:color w:val="000000"/>
                <w:szCs w:val="20"/>
              </w:rPr>
            </w:pPr>
            <w:r w:rsidRPr="00F53AE4">
              <w:rPr>
                <w:rFonts w:cs="Arial"/>
                <w:color w:val="000000"/>
                <w:szCs w:val="20"/>
              </w:rPr>
              <w:t>0.8</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25F40340" w14:textId="77777777" w:rsidR="003B679E" w:rsidRPr="00F53AE4" w:rsidRDefault="003B679E" w:rsidP="00187743">
            <w:pPr>
              <w:spacing w:after="0"/>
              <w:jc w:val="center"/>
              <w:rPr>
                <w:rFonts w:cs="Arial"/>
                <w:color w:val="000000"/>
                <w:szCs w:val="20"/>
              </w:rPr>
            </w:pPr>
            <w:r w:rsidRPr="00F53AE4">
              <w:rPr>
                <w:rFonts w:cs="Arial"/>
                <w:color w:val="000000"/>
                <w:szCs w:val="20"/>
              </w:rPr>
              <w:t>2.6</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1D2D695F" w14:textId="77777777" w:rsidR="003B679E" w:rsidRPr="00F53AE4" w:rsidRDefault="003B679E" w:rsidP="00187743">
            <w:pPr>
              <w:spacing w:after="0"/>
              <w:jc w:val="center"/>
              <w:rPr>
                <w:rFonts w:cs="Arial"/>
                <w:color w:val="000000"/>
                <w:szCs w:val="20"/>
              </w:rPr>
            </w:pPr>
            <w:r w:rsidRPr="00F53AE4">
              <w:rPr>
                <w:rFonts w:cs="Arial"/>
                <w:color w:val="000000"/>
                <w:szCs w:val="20"/>
              </w:rPr>
              <w:t>0.7</w:t>
            </w:r>
          </w:p>
        </w:tc>
        <w:tc>
          <w:tcPr>
            <w:tcW w:w="1134" w:type="dxa"/>
            <w:tcBorders>
              <w:top w:val="nil"/>
              <w:left w:val="single" w:sz="4" w:space="0" w:color="FFFFFF" w:themeColor="background1"/>
              <w:bottom w:val="nil"/>
              <w:right w:val="single" w:sz="4" w:space="0" w:color="FFFFFF" w:themeColor="background1"/>
            </w:tcBorders>
            <w:shd w:val="clear" w:color="auto" w:fill="EFD3D2"/>
            <w:noWrap/>
            <w:vAlign w:val="center"/>
            <w:hideMark/>
          </w:tcPr>
          <w:p w14:paraId="7230210C" w14:textId="77777777" w:rsidR="003B679E" w:rsidRPr="00F53AE4" w:rsidRDefault="003B679E" w:rsidP="00187743">
            <w:pPr>
              <w:spacing w:after="0"/>
              <w:jc w:val="center"/>
              <w:rPr>
                <w:rFonts w:cs="Arial"/>
                <w:szCs w:val="20"/>
              </w:rPr>
            </w:pPr>
            <w:r w:rsidRPr="00F53AE4">
              <w:rPr>
                <w:rFonts w:cs="Arial"/>
                <w:szCs w:val="20"/>
              </w:rPr>
              <w:t>1.8</w:t>
            </w:r>
          </w:p>
        </w:tc>
        <w:tc>
          <w:tcPr>
            <w:tcW w:w="1111" w:type="dxa"/>
            <w:tcBorders>
              <w:top w:val="nil"/>
              <w:left w:val="single" w:sz="4" w:space="0" w:color="FFFFFF" w:themeColor="background1"/>
              <w:bottom w:val="nil"/>
              <w:right w:val="single" w:sz="4" w:space="0" w:color="000000"/>
            </w:tcBorders>
            <w:shd w:val="clear" w:color="000000" w:fill="808080"/>
            <w:noWrap/>
            <w:vAlign w:val="center"/>
            <w:hideMark/>
          </w:tcPr>
          <w:p w14:paraId="3B70CAC3" w14:textId="77777777" w:rsidR="003B679E" w:rsidRPr="00F53AE4" w:rsidRDefault="003B679E" w:rsidP="00187743">
            <w:pPr>
              <w:spacing w:after="0"/>
              <w:jc w:val="center"/>
              <w:rPr>
                <w:rFonts w:cs="Arial"/>
                <w:b/>
                <w:bCs/>
                <w:color w:val="FFFFFF"/>
                <w:szCs w:val="20"/>
              </w:rPr>
            </w:pPr>
            <w:r w:rsidRPr="00F53AE4">
              <w:rPr>
                <w:rFonts w:cs="Arial"/>
                <w:b/>
                <w:bCs/>
                <w:color w:val="FFFFFF"/>
                <w:szCs w:val="20"/>
              </w:rPr>
              <w:t>1.4</w:t>
            </w:r>
          </w:p>
        </w:tc>
      </w:tr>
      <w:tr w:rsidR="00EA24DD" w:rsidRPr="00F53AE4" w14:paraId="304FD3A7" w14:textId="77777777" w:rsidTr="00B02854">
        <w:trPr>
          <w:trHeight w:val="287"/>
        </w:trPr>
        <w:tc>
          <w:tcPr>
            <w:tcW w:w="1980" w:type="dxa"/>
            <w:tcBorders>
              <w:top w:val="nil"/>
              <w:left w:val="single" w:sz="4" w:space="0" w:color="000000"/>
              <w:bottom w:val="nil"/>
              <w:right w:val="single" w:sz="4" w:space="0" w:color="FFFFFF" w:themeColor="background1"/>
            </w:tcBorders>
            <w:shd w:val="clear" w:color="auto" w:fill="auto"/>
            <w:noWrap/>
            <w:vAlign w:val="center"/>
            <w:hideMark/>
          </w:tcPr>
          <w:p w14:paraId="5692B614" w14:textId="77777777" w:rsidR="00F53AE4" w:rsidRPr="00F53AE4" w:rsidRDefault="00F53AE4" w:rsidP="00F53AE4">
            <w:pPr>
              <w:spacing w:after="0"/>
              <w:jc w:val="left"/>
              <w:rPr>
                <w:rFonts w:cs="Arial"/>
                <w:b/>
                <w:bCs/>
                <w:color w:val="000000"/>
                <w:szCs w:val="20"/>
              </w:rPr>
            </w:pPr>
            <w:r w:rsidRPr="00F53AE4">
              <w:rPr>
                <w:rFonts w:cs="Arial"/>
                <w:b/>
                <w:bCs/>
                <w:color w:val="000000"/>
                <w:szCs w:val="20"/>
              </w:rPr>
              <w:t>Australian Capital Territory</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55601320" w14:textId="3913B96A" w:rsidR="00F53AE4" w:rsidRPr="00F53AE4" w:rsidRDefault="00F53AE4" w:rsidP="00F53AE4">
            <w:pPr>
              <w:spacing w:after="0"/>
              <w:jc w:val="center"/>
              <w:rPr>
                <w:rFonts w:cs="Arial"/>
                <w:color w:val="000000"/>
                <w:szCs w:val="20"/>
              </w:rPr>
            </w:pPr>
            <w:r w:rsidRPr="00F53AE4">
              <w:rPr>
                <w:rFonts w:cs="Arial"/>
                <w:color w:val="000000"/>
                <w:szCs w:val="20"/>
              </w:rPr>
              <w:t> </w:t>
            </w:r>
            <w:r w:rsidR="00EA24DD">
              <w:rPr>
                <w:rFonts w:cs="Arial"/>
                <w:color w:val="000000"/>
                <w:szCs w:val="20"/>
              </w:rPr>
              <w:t>0.0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61CAA81C" w14:textId="77777777" w:rsidR="00F53AE4" w:rsidRPr="00F53AE4" w:rsidRDefault="00F53AE4" w:rsidP="00F53AE4">
            <w:pPr>
              <w:spacing w:after="0"/>
              <w:jc w:val="center"/>
              <w:rPr>
                <w:rFonts w:cs="Arial"/>
                <w:color w:val="000000"/>
                <w:szCs w:val="20"/>
              </w:rPr>
            </w:pPr>
            <w:r w:rsidRPr="00F53AE4">
              <w:rPr>
                <w:rFonts w:cs="Arial"/>
                <w:color w:val="000000"/>
                <w:szCs w:val="20"/>
              </w:rPr>
              <w:t>0.4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36A0332F" w14:textId="77777777" w:rsidR="00F53AE4" w:rsidRPr="00F53AE4" w:rsidRDefault="00F53AE4" w:rsidP="00F53AE4">
            <w:pPr>
              <w:spacing w:after="0"/>
              <w:jc w:val="center"/>
              <w:rPr>
                <w:rFonts w:cs="Arial"/>
                <w:color w:val="000000"/>
                <w:szCs w:val="20"/>
              </w:rPr>
            </w:pPr>
            <w:r w:rsidRPr="00F53AE4">
              <w:rPr>
                <w:rFonts w:cs="Arial"/>
                <w:color w:val="000000"/>
                <w:szCs w:val="20"/>
              </w:rPr>
              <w:t>0.8</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3AD852F6" w14:textId="6199BB0B" w:rsidR="00F53AE4" w:rsidRPr="00F53AE4" w:rsidRDefault="00F53AE4" w:rsidP="00F53AE4">
            <w:pPr>
              <w:spacing w:after="0"/>
              <w:jc w:val="center"/>
              <w:rPr>
                <w:rFonts w:cs="Arial"/>
                <w:color w:val="000000"/>
                <w:szCs w:val="20"/>
              </w:rPr>
            </w:pPr>
            <w:r w:rsidRPr="00F53AE4">
              <w:rPr>
                <w:rFonts w:cs="Arial"/>
                <w:color w:val="000000"/>
                <w:szCs w:val="20"/>
              </w:rPr>
              <w:t> </w:t>
            </w:r>
            <w:r w:rsidR="00EA24DD">
              <w:rPr>
                <w:rFonts w:cs="Arial"/>
                <w:color w:val="000000"/>
                <w:szCs w:val="20"/>
              </w:rPr>
              <w:t>0.0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14:paraId="17F38CBF" w14:textId="77777777" w:rsidR="00F53AE4" w:rsidRPr="00F53AE4" w:rsidRDefault="00F53AE4" w:rsidP="00F53AE4">
            <w:pPr>
              <w:spacing w:after="0"/>
              <w:jc w:val="center"/>
              <w:rPr>
                <w:rFonts w:cs="Arial"/>
                <w:szCs w:val="20"/>
              </w:rPr>
            </w:pPr>
            <w:r w:rsidRPr="00F53AE4">
              <w:rPr>
                <w:rFonts w:cs="Arial"/>
                <w:szCs w:val="20"/>
              </w:rPr>
              <w:t>0.4</w:t>
            </w:r>
          </w:p>
        </w:tc>
        <w:tc>
          <w:tcPr>
            <w:tcW w:w="1111" w:type="dxa"/>
            <w:tcBorders>
              <w:top w:val="nil"/>
              <w:left w:val="single" w:sz="4" w:space="0" w:color="FFFFFF" w:themeColor="background1"/>
              <w:bottom w:val="nil"/>
              <w:right w:val="single" w:sz="4" w:space="0" w:color="000000"/>
            </w:tcBorders>
            <w:shd w:val="clear" w:color="000000" w:fill="808080"/>
            <w:noWrap/>
            <w:vAlign w:val="center"/>
            <w:hideMark/>
          </w:tcPr>
          <w:p w14:paraId="756B4C02" w14:textId="4A25179F" w:rsidR="00F53AE4" w:rsidRPr="00F53AE4" w:rsidRDefault="00F53AE4" w:rsidP="00F53AE4">
            <w:pPr>
              <w:spacing w:after="0"/>
              <w:jc w:val="center"/>
              <w:rPr>
                <w:rFonts w:cs="Arial"/>
                <w:b/>
                <w:bCs/>
                <w:color w:val="FFFFFF"/>
                <w:szCs w:val="20"/>
              </w:rPr>
            </w:pPr>
            <w:r w:rsidRPr="00F53AE4">
              <w:rPr>
                <w:rFonts w:cs="Arial"/>
                <w:b/>
                <w:bCs/>
                <w:color w:val="FFFFFF"/>
                <w:szCs w:val="20"/>
              </w:rPr>
              <w:t>0.</w:t>
            </w:r>
            <w:r w:rsidR="00381499">
              <w:rPr>
                <w:rFonts w:cs="Arial"/>
                <w:b/>
                <w:bCs/>
                <w:color w:val="FFFFFF"/>
                <w:szCs w:val="20"/>
              </w:rPr>
              <w:t>3</w:t>
            </w:r>
          </w:p>
        </w:tc>
      </w:tr>
      <w:tr w:rsidR="00EA24DD" w:rsidRPr="00F53AE4" w14:paraId="43B487E6" w14:textId="77777777" w:rsidTr="00EA24DD">
        <w:trPr>
          <w:trHeight w:val="287"/>
        </w:trPr>
        <w:tc>
          <w:tcPr>
            <w:tcW w:w="1980" w:type="dxa"/>
            <w:tcBorders>
              <w:top w:val="nil"/>
              <w:left w:val="single" w:sz="4" w:space="0" w:color="000000"/>
              <w:bottom w:val="single" w:sz="4" w:space="0" w:color="000000"/>
              <w:right w:val="single" w:sz="4" w:space="0" w:color="FFFFFF" w:themeColor="background1"/>
            </w:tcBorders>
            <w:shd w:val="clear" w:color="000000" w:fill="808080"/>
            <w:noWrap/>
            <w:vAlign w:val="center"/>
            <w:hideMark/>
          </w:tcPr>
          <w:p w14:paraId="017768F1" w14:textId="64FB606A" w:rsidR="00F53AE4" w:rsidRPr="00F53AE4" w:rsidRDefault="00F53AE4" w:rsidP="00F53AE4">
            <w:pPr>
              <w:spacing w:after="0"/>
              <w:jc w:val="left"/>
              <w:rPr>
                <w:rFonts w:cs="Arial"/>
                <w:b/>
                <w:bCs/>
                <w:color w:val="FFFFFF"/>
                <w:szCs w:val="20"/>
              </w:rPr>
            </w:pPr>
            <w:r w:rsidRPr="00F53AE4">
              <w:rPr>
                <w:rFonts w:cs="Arial"/>
                <w:b/>
                <w:bCs/>
                <w:color w:val="FFFFFF"/>
                <w:szCs w:val="20"/>
              </w:rPr>
              <w:t xml:space="preserve">Australian </w:t>
            </w:r>
            <w:r w:rsidR="00C16567">
              <w:rPr>
                <w:rFonts w:cs="Arial"/>
                <w:b/>
                <w:bCs/>
                <w:color w:val="FFFFFF"/>
                <w:szCs w:val="20"/>
              </w:rPr>
              <w:t>t</w:t>
            </w:r>
            <w:r w:rsidRPr="00F53AE4">
              <w:rPr>
                <w:rFonts w:cs="Arial"/>
                <w:b/>
                <w:bCs/>
                <w:color w:val="FFFFFF"/>
                <w:szCs w:val="20"/>
              </w:rPr>
              <w:t>otal</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5D018CA9"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1.0</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1F7E288F"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0.9</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45E6A9E0"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1.1</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3D0FCB7E"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0.8</w:t>
            </w:r>
          </w:p>
        </w:tc>
        <w:tc>
          <w:tcPr>
            <w:tcW w:w="1134" w:type="dxa"/>
            <w:tcBorders>
              <w:top w:val="nil"/>
              <w:left w:val="single" w:sz="4" w:space="0" w:color="FFFFFF" w:themeColor="background1"/>
              <w:bottom w:val="single" w:sz="4" w:space="0" w:color="000000"/>
              <w:right w:val="single" w:sz="4" w:space="0" w:color="FFFFFF" w:themeColor="background1"/>
            </w:tcBorders>
            <w:shd w:val="clear" w:color="000000" w:fill="808080"/>
            <w:noWrap/>
            <w:vAlign w:val="center"/>
            <w:hideMark/>
          </w:tcPr>
          <w:p w14:paraId="21FE87CD"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0.9</w:t>
            </w:r>
          </w:p>
        </w:tc>
        <w:tc>
          <w:tcPr>
            <w:tcW w:w="1111" w:type="dxa"/>
            <w:tcBorders>
              <w:top w:val="nil"/>
              <w:left w:val="single" w:sz="4" w:space="0" w:color="FFFFFF" w:themeColor="background1"/>
              <w:bottom w:val="single" w:sz="4" w:space="0" w:color="000000"/>
              <w:right w:val="single" w:sz="4" w:space="0" w:color="000000"/>
            </w:tcBorders>
            <w:shd w:val="clear" w:color="000000" w:fill="808080"/>
            <w:noWrap/>
            <w:vAlign w:val="center"/>
            <w:hideMark/>
          </w:tcPr>
          <w:p w14:paraId="3CAC93F2" w14:textId="77777777" w:rsidR="00F53AE4" w:rsidRPr="00F53AE4" w:rsidRDefault="00F53AE4" w:rsidP="00F53AE4">
            <w:pPr>
              <w:spacing w:after="0"/>
              <w:jc w:val="center"/>
              <w:rPr>
                <w:rFonts w:cs="Arial"/>
                <w:b/>
                <w:bCs/>
                <w:color w:val="FFFFFF"/>
                <w:szCs w:val="20"/>
              </w:rPr>
            </w:pPr>
            <w:r w:rsidRPr="00F53AE4">
              <w:rPr>
                <w:rFonts w:cs="Arial"/>
                <w:b/>
                <w:bCs/>
                <w:color w:val="FFFFFF"/>
                <w:szCs w:val="20"/>
              </w:rPr>
              <w:t>0.9</w:t>
            </w:r>
          </w:p>
        </w:tc>
      </w:tr>
    </w:tbl>
    <w:p w14:paraId="132034BF" w14:textId="49459AF6" w:rsidR="00537FCF" w:rsidRPr="00EA24DD" w:rsidRDefault="000D785F" w:rsidP="003B679E">
      <w:pPr>
        <w:spacing w:before="120"/>
        <w:rPr>
          <w:rFonts w:eastAsiaTheme="majorEastAsia" w:cstheme="majorBidi"/>
          <w:b/>
          <w:color w:val="AF1E2D"/>
          <w:spacing w:val="-3"/>
          <w:sz w:val="2"/>
          <w:szCs w:val="2"/>
          <w:lang w:eastAsia="en-US"/>
        </w:rPr>
      </w:pPr>
      <w:r>
        <w:rPr>
          <w:sz w:val="16"/>
          <w:szCs w:val="20"/>
        </w:rPr>
        <w:t>ACT – covers workers who were fatally injured in the Australian Capital Territory.</w:t>
      </w:r>
    </w:p>
    <w:p w14:paraId="614701F7" w14:textId="77777777" w:rsidR="007F5C9E" w:rsidRPr="00086AB2" w:rsidRDefault="007F5C9E" w:rsidP="00537FCF">
      <w:pPr>
        <w:pStyle w:val="SWASectionnum2"/>
      </w:pPr>
      <w:bookmarkStart w:id="40" w:name="_Toc150245671"/>
      <w:r w:rsidRPr="00086AB2">
        <w:lastRenderedPageBreak/>
        <w:t>Work-related disease fatalities</w:t>
      </w:r>
      <w:bookmarkEnd w:id="40"/>
      <w:r>
        <w:t xml:space="preserve"> </w:t>
      </w:r>
    </w:p>
    <w:p w14:paraId="7C234FEC" w14:textId="77777777" w:rsidR="007F5C9E" w:rsidRDefault="007F5C9E" w:rsidP="007F5C9E">
      <w:r w:rsidRPr="00086AB2">
        <w:t>Workers’ compensation data contain</w:t>
      </w:r>
      <w:r>
        <w:t>s</w:t>
      </w:r>
      <w:r w:rsidRPr="00086AB2">
        <w:t xml:space="preserve"> some information on disease-related fatalities</w:t>
      </w:r>
      <w:r>
        <w:t xml:space="preserve">, </w:t>
      </w:r>
      <w:r w:rsidRPr="00086AB2">
        <w:t>but</w:t>
      </w:r>
      <w:r>
        <w:t xml:space="preserve"> this data is</w:t>
      </w:r>
      <w:r w:rsidRPr="00086AB2">
        <w:t xml:space="preserve"> known to understate the number of fatalities from work-related </w:t>
      </w:r>
      <w:r>
        <w:t>diseases</w:t>
      </w:r>
      <w:r w:rsidRPr="00086AB2">
        <w:t>. It can be difficult to associate a disease that becomes evident later in life after exposure to a chemical or substance that occurred many years earlier while at work. Some occupational diseases such as asbestosis and mesothelioma are</w:t>
      </w:r>
      <w:r>
        <w:t xml:space="preserve"> also</w:t>
      </w:r>
      <w:r w:rsidRPr="00086AB2">
        <w:t xml:space="preserve"> compensated through separate mechanisms</w:t>
      </w:r>
      <w:r>
        <w:t>,</w:t>
      </w:r>
      <w:r w:rsidRPr="00086AB2">
        <w:t xml:space="preserve"> while many other diseases go unreported and/or uncompensated.</w:t>
      </w:r>
    </w:p>
    <w:p w14:paraId="7261A6BD" w14:textId="2381C791" w:rsidR="007F5C9E" w:rsidRPr="00570AF1" w:rsidRDefault="007F5C9E" w:rsidP="0031228B">
      <w:pPr>
        <w:pStyle w:val="Heading3"/>
        <w:rPr>
          <w:color w:val="00B050"/>
        </w:rPr>
      </w:pPr>
      <w:bookmarkStart w:id="41" w:name="_Toc150245672"/>
      <w:r w:rsidRPr="00774ED0">
        <w:t>Compensated fatalities involving occupational diseases by jurisdiction</w:t>
      </w:r>
      <w:r w:rsidRPr="00086AB2">
        <w:t xml:space="preserve"> </w:t>
      </w:r>
      <w:r w:rsidR="00222D4C">
        <w:t>(previously i</w:t>
      </w:r>
      <w:r w:rsidR="00222D4C" w:rsidRPr="00774ED0">
        <w:t>ndicator</w:t>
      </w:r>
      <w:r w:rsidR="00222D4C">
        <w:t> </w:t>
      </w:r>
      <w:fldSimple w:instr=" SEQ Indicator \* ARABIC ">
        <w:r w:rsidR="00222D4C">
          <w:rPr>
            <w:noProof/>
          </w:rPr>
          <w:t>8</w:t>
        </w:r>
      </w:fldSimple>
      <w:r w:rsidR="00222D4C">
        <w:rPr>
          <w:noProof/>
        </w:rPr>
        <w:t>)</w:t>
      </w:r>
      <w:bookmarkEnd w:id="41"/>
    </w:p>
    <w:tbl>
      <w:tblPr>
        <w:tblW w:w="9420" w:type="dxa"/>
        <w:tblLook w:val="04A0" w:firstRow="1" w:lastRow="0" w:firstColumn="1" w:lastColumn="0" w:noHBand="0" w:noVBand="1"/>
      </w:tblPr>
      <w:tblGrid>
        <w:gridCol w:w="1961"/>
        <w:gridCol w:w="1011"/>
        <w:gridCol w:w="1012"/>
        <w:gridCol w:w="1011"/>
        <w:gridCol w:w="1012"/>
        <w:gridCol w:w="1012"/>
        <w:gridCol w:w="1236"/>
        <w:gridCol w:w="1165"/>
      </w:tblGrid>
      <w:tr w:rsidR="00B02854" w:rsidRPr="00391C5E" w14:paraId="025AD3DD" w14:textId="77777777" w:rsidTr="00B02854">
        <w:trPr>
          <w:trHeight w:val="510"/>
        </w:trPr>
        <w:tc>
          <w:tcPr>
            <w:tcW w:w="1961" w:type="dxa"/>
            <w:tcBorders>
              <w:top w:val="single" w:sz="4" w:space="0" w:color="auto"/>
              <w:left w:val="single" w:sz="4" w:space="0" w:color="auto"/>
              <w:bottom w:val="nil"/>
              <w:right w:val="single" w:sz="4" w:space="0" w:color="FFFFFF" w:themeColor="background1"/>
            </w:tcBorders>
            <w:shd w:val="clear" w:color="000000" w:fill="AF1E2D"/>
            <w:vAlign w:val="center"/>
            <w:hideMark/>
          </w:tcPr>
          <w:p w14:paraId="708CF72C" w14:textId="77777777" w:rsidR="00391C5E" w:rsidRPr="00391C5E" w:rsidRDefault="00391C5E" w:rsidP="00391C5E">
            <w:pPr>
              <w:spacing w:after="0"/>
              <w:jc w:val="left"/>
              <w:rPr>
                <w:rFonts w:cs="Arial"/>
                <w:b/>
                <w:bCs/>
                <w:color w:val="FFFFFF"/>
                <w:szCs w:val="20"/>
              </w:rPr>
            </w:pPr>
            <w:r w:rsidRPr="00391C5E">
              <w:rPr>
                <w:rFonts w:cs="Arial"/>
                <w:b/>
                <w:bCs/>
                <w:color w:val="FFFFFF"/>
                <w:szCs w:val="20"/>
              </w:rPr>
              <w:t>Jurisdiction</w:t>
            </w:r>
          </w:p>
        </w:tc>
        <w:tc>
          <w:tcPr>
            <w:tcW w:w="1011" w:type="dxa"/>
            <w:tcBorders>
              <w:top w:val="single" w:sz="4" w:space="0" w:color="auto"/>
              <w:left w:val="single" w:sz="4" w:space="0" w:color="FFFFFF" w:themeColor="background1"/>
              <w:bottom w:val="nil"/>
              <w:right w:val="single" w:sz="4" w:space="0" w:color="FFFFFF" w:themeColor="background1"/>
            </w:tcBorders>
            <w:shd w:val="clear" w:color="000000" w:fill="AF1E2D"/>
            <w:vAlign w:val="center"/>
            <w:hideMark/>
          </w:tcPr>
          <w:p w14:paraId="6AF34014"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2016-17</w:t>
            </w:r>
          </w:p>
        </w:tc>
        <w:tc>
          <w:tcPr>
            <w:tcW w:w="1012" w:type="dxa"/>
            <w:tcBorders>
              <w:top w:val="single" w:sz="4" w:space="0" w:color="auto"/>
              <w:left w:val="single" w:sz="4" w:space="0" w:color="FFFFFF" w:themeColor="background1"/>
              <w:bottom w:val="nil"/>
              <w:right w:val="single" w:sz="4" w:space="0" w:color="FFFFFF" w:themeColor="background1"/>
            </w:tcBorders>
            <w:shd w:val="clear" w:color="000000" w:fill="AF1E2D"/>
            <w:vAlign w:val="center"/>
            <w:hideMark/>
          </w:tcPr>
          <w:p w14:paraId="10EE2B17"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2017-18</w:t>
            </w:r>
          </w:p>
        </w:tc>
        <w:tc>
          <w:tcPr>
            <w:tcW w:w="1011" w:type="dxa"/>
            <w:tcBorders>
              <w:top w:val="single" w:sz="4" w:space="0" w:color="auto"/>
              <w:left w:val="single" w:sz="4" w:space="0" w:color="FFFFFF" w:themeColor="background1"/>
              <w:bottom w:val="nil"/>
              <w:right w:val="single" w:sz="4" w:space="0" w:color="FFFFFF" w:themeColor="background1"/>
            </w:tcBorders>
            <w:shd w:val="clear" w:color="000000" w:fill="AF1E2D"/>
            <w:vAlign w:val="center"/>
            <w:hideMark/>
          </w:tcPr>
          <w:p w14:paraId="1BF7D385"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2018-19</w:t>
            </w:r>
          </w:p>
        </w:tc>
        <w:tc>
          <w:tcPr>
            <w:tcW w:w="1012" w:type="dxa"/>
            <w:tcBorders>
              <w:top w:val="single" w:sz="4" w:space="0" w:color="auto"/>
              <w:left w:val="single" w:sz="4" w:space="0" w:color="FFFFFF" w:themeColor="background1"/>
              <w:bottom w:val="nil"/>
              <w:right w:val="single" w:sz="4" w:space="0" w:color="FFFFFF" w:themeColor="background1"/>
            </w:tcBorders>
            <w:shd w:val="clear" w:color="000000" w:fill="AF1E2D"/>
            <w:vAlign w:val="center"/>
            <w:hideMark/>
          </w:tcPr>
          <w:p w14:paraId="0D7A57B5"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2019-20</w:t>
            </w:r>
          </w:p>
        </w:tc>
        <w:tc>
          <w:tcPr>
            <w:tcW w:w="1012" w:type="dxa"/>
            <w:tcBorders>
              <w:top w:val="single" w:sz="4" w:space="0" w:color="auto"/>
              <w:left w:val="single" w:sz="4" w:space="0" w:color="FFFFFF" w:themeColor="background1"/>
              <w:bottom w:val="nil"/>
              <w:right w:val="single" w:sz="4" w:space="0" w:color="FFFFFF" w:themeColor="background1"/>
            </w:tcBorders>
            <w:shd w:val="clear" w:color="000000" w:fill="AF1E2D"/>
            <w:vAlign w:val="center"/>
            <w:hideMark/>
          </w:tcPr>
          <w:p w14:paraId="29836BAF"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2020-21</w:t>
            </w:r>
          </w:p>
        </w:tc>
        <w:tc>
          <w:tcPr>
            <w:tcW w:w="1236" w:type="dxa"/>
            <w:tcBorders>
              <w:top w:val="single" w:sz="4" w:space="0" w:color="auto"/>
              <w:left w:val="single" w:sz="4" w:space="0" w:color="FFFFFF" w:themeColor="background1"/>
              <w:bottom w:val="nil"/>
              <w:right w:val="single" w:sz="4" w:space="0" w:color="FFFFFF" w:themeColor="background1"/>
            </w:tcBorders>
            <w:shd w:val="clear" w:color="000000" w:fill="AF1E2D"/>
            <w:vAlign w:val="center"/>
            <w:hideMark/>
          </w:tcPr>
          <w:p w14:paraId="31C6E381"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2021-22p</w:t>
            </w:r>
          </w:p>
        </w:tc>
        <w:tc>
          <w:tcPr>
            <w:tcW w:w="1165" w:type="dxa"/>
            <w:tcBorders>
              <w:top w:val="single" w:sz="4" w:space="0" w:color="auto"/>
              <w:left w:val="single" w:sz="4" w:space="0" w:color="FFFFFF" w:themeColor="background1"/>
              <w:bottom w:val="single" w:sz="4" w:space="0" w:color="FFFFFF" w:themeColor="background1"/>
              <w:right w:val="single" w:sz="4" w:space="0" w:color="auto"/>
            </w:tcBorders>
            <w:shd w:val="clear" w:color="000000" w:fill="AF1E2D"/>
            <w:vAlign w:val="center"/>
            <w:hideMark/>
          </w:tcPr>
          <w:p w14:paraId="361297EB" w14:textId="1E1C48FD" w:rsidR="00391C5E" w:rsidRPr="00295209" w:rsidRDefault="00391C5E" w:rsidP="00391C5E">
            <w:pPr>
              <w:spacing w:after="0"/>
              <w:jc w:val="center"/>
              <w:rPr>
                <w:rFonts w:cs="Arial"/>
                <w:b/>
                <w:bCs/>
                <w:color w:val="FFFFFF"/>
                <w:szCs w:val="20"/>
                <w:vertAlign w:val="superscript"/>
              </w:rPr>
            </w:pPr>
            <w:r w:rsidRPr="00391C5E">
              <w:rPr>
                <w:rFonts w:cs="Arial"/>
                <w:b/>
                <w:bCs/>
                <w:color w:val="FFFFFF"/>
                <w:szCs w:val="20"/>
              </w:rPr>
              <w:t>5yr Average</w:t>
            </w:r>
            <w:r w:rsidR="00295209">
              <w:rPr>
                <w:rFonts w:cs="Arial"/>
                <w:b/>
                <w:bCs/>
                <w:color w:val="FFFFFF"/>
                <w:szCs w:val="20"/>
                <w:vertAlign w:val="superscript"/>
              </w:rPr>
              <w:t>(a)</w:t>
            </w:r>
          </w:p>
        </w:tc>
      </w:tr>
      <w:tr w:rsidR="00B02854" w:rsidRPr="00391C5E" w14:paraId="4510530C" w14:textId="77777777" w:rsidTr="00B02854">
        <w:trPr>
          <w:trHeight w:val="300"/>
        </w:trPr>
        <w:tc>
          <w:tcPr>
            <w:tcW w:w="1961" w:type="dxa"/>
            <w:tcBorders>
              <w:top w:val="nil"/>
              <w:left w:val="single" w:sz="4" w:space="0" w:color="auto"/>
              <w:bottom w:val="nil"/>
              <w:right w:val="single" w:sz="4" w:space="0" w:color="FFFFFF" w:themeColor="background1"/>
            </w:tcBorders>
            <w:shd w:val="clear" w:color="000000" w:fill="EFD2D1"/>
            <w:vAlign w:val="center"/>
            <w:hideMark/>
          </w:tcPr>
          <w:p w14:paraId="717E6F51" w14:textId="77777777" w:rsidR="00391C5E" w:rsidRPr="00391C5E" w:rsidRDefault="00391C5E" w:rsidP="00391C5E">
            <w:pPr>
              <w:spacing w:after="0"/>
              <w:jc w:val="left"/>
              <w:rPr>
                <w:rFonts w:cs="Arial"/>
                <w:b/>
                <w:bCs/>
                <w:color w:val="000000"/>
                <w:szCs w:val="20"/>
              </w:rPr>
            </w:pPr>
            <w:r w:rsidRPr="00391C5E">
              <w:rPr>
                <w:rFonts w:cs="Arial"/>
                <w:b/>
                <w:bCs/>
                <w:color w:val="000000"/>
                <w:szCs w:val="20"/>
              </w:rPr>
              <w:t>Victoria</w:t>
            </w:r>
          </w:p>
        </w:tc>
        <w:tc>
          <w:tcPr>
            <w:tcW w:w="1011"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1A8172D0" w14:textId="77777777" w:rsidR="00391C5E" w:rsidRPr="00EA24DD" w:rsidRDefault="00391C5E" w:rsidP="00EA24DD">
            <w:pPr>
              <w:spacing w:after="0"/>
              <w:jc w:val="center"/>
              <w:rPr>
                <w:rFonts w:cs="Arial"/>
                <w:szCs w:val="20"/>
              </w:rPr>
            </w:pPr>
            <w:r w:rsidRPr="00EA24DD">
              <w:rPr>
                <w:rFonts w:cs="Arial"/>
                <w:szCs w:val="20"/>
              </w:rPr>
              <w:t>25</w:t>
            </w:r>
          </w:p>
        </w:tc>
        <w:tc>
          <w:tcPr>
            <w:tcW w:w="1012"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731E4DD5" w14:textId="77777777" w:rsidR="00391C5E" w:rsidRPr="00EA24DD" w:rsidRDefault="00391C5E" w:rsidP="00EA24DD">
            <w:pPr>
              <w:spacing w:after="0"/>
              <w:jc w:val="center"/>
              <w:rPr>
                <w:rFonts w:cs="Arial"/>
                <w:szCs w:val="20"/>
              </w:rPr>
            </w:pPr>
            <w:r w:rsidRPr="00EA24DD">
              <w:rPr>
                <w:rFonts w:cs="Arial"/>
                <w:szCs w:val="20"/>
              </w:rPr>
              <w:t>19</w:t>
            </w:r>
          </w:p>
        </w:tc>
        <w:tc>
          <w:tcPr>
            <w:tcW w:w="1011"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6C9CCE07" w14:textId="77777777" w:rsidR="00391C5E" w:rsidRPr="00EA24DD" w:rsidRDefault="00391C5E" w:rsidP="00EA24DD">
            <w:pPr>
              <w:spacing w:after="0"/>
              <w:jc w:val="center"/>
              <w:rPr>
                <w:rFonts w:cs="Arial"/>
                <w:szCs w:val="20"/>
              </w:rPr>
            </w:pPr>
            <w:r w:rsidRPr="00EA24DD">
              <w:rPr>
                <w:rFonts w:cs="Arial"/>
                <w:szCs w:val="20"/>
              </w:rPr>
              <w:t>22</w:t>
            </w:r>
          </w:p>
        </w:tc>
        <w:tc>
          <w:tcPr>
            <w:tcW w:w="1012"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5698C0E0" w14:textId="77777777" w:rsidR="00391C5E" w:rsidRPr="00EA24DD" w:rsidRDefault="00391C5E" w:rsidP="00EA24DD">
            <w:pPr>
              <w:spacing w:after="0"/>
              <w:jc w:val="center"/>
              <w:rPr>
                <w:rFonts w:cs="Arial"/>
                <w:szCs w:val="20"/>
              </w:rPr>
            </w:pPr>
            <w:r w:rsidRPr="00EA24DD">
              <w:rPr>
                <w:rFonts w:cs="Arial"/>
                <w:szCs w:val="20"/>
              </w:rPr>
              <w:t>43</w:t>
            </w:r>
          </w:p>
        </w:tc>
        <w:tc>
          <w:tcPr>
            <w:tcW w:w="1012"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3D2C4597" w14:textId="77777777" w:rsidR="00391C5E" w:rsidRPr="00EA24DD" w:rsidRDefault="00391C5E" w:rsidP="00EA24DD">
            <w:pPr>
              <w:spacing w:after="0"/>
              <w:jc w:val="center"/>
              <w:rPr>
                <w:rFonts w:cs="Arial"/>
                <w:szCs w:val="20"/>
              </w:rPr>
            </w:pPr>
            <w:r w:rsidRPr="00EA24DD">
              <w:rPr>
                <w:rFonts w:cs="Arial"/>
                <w:szCs w:val="20"/>
              </w:rPr>
              <w:t>23</w:t>
            </w:r>
          </w:p>
        </w:tc>
        <w:tc>
          <w:tcPr>
            <w:tcW w:w="1236"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66768121" w14:textId="77777777" w:rsidR="00391C5E" w:rsidRPr="00EA24DD" w:rsidRDefault="00391C5E" w:rsidP="00EA24DD">
            <w:pPr>
              <w:spacing w:after="0"/>
              <w:jc w:val="center"/>
              <w:rPr>
                <w:rFonts w:cs="Arial"/>
                <w:szCs w:val="20"/>
              </w:rPr>
            </w:pPr>
            <w:r w:rsidRPr="00EA24DD">
              <w:rPr>
                <w:rFonts w:cs="Arial"/>
                <w:szCs w:val="20"/>
              </w:rPr>
              <w:t>21</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6B44AF92"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26</w:t>
            </w:r>
          </w:p>
        </w:tc>
      </w:tr>
      <w:tr w:rsidR="00B02854" w:rsidRPr="00391C5E" w14:paraId="19FB1058" w14:textId="77777777" w:rsidTr="00B02854">
        <w:trPr>
          <w:trHeight w:val="300"/>
        </w:trPr>
        <w:tc>
          <w:tcPr>
            <w:tcW w:w="1961" w:type="dxa"/>
            <w:tcBorders>
              <w:top w:val="nil"/>
              <w:left w:val="single" w:sz="4" w:space="0" w:color="auto"/>
              <w:bottom w:val="nil"/>
              <w:right w:val="single" w:sz="4" w:space="0" w:color="FFFFFF" w:themeColor="background1"/>
            </w:tcBorders>
            <w:shd w:val="clear" w:color="auto" w:fill="auto"/>
            <w:vAlign w:val="center"/>
            <w:hideMark/>
          </w:tcPr>
          <w:p w14:paraId="1E4ED97D" w14:textId="77777777" w:rsidR="00391C5E" w:rsidRPr="00391C5E" w:rsidRDefault="00391C5E" w:rsidP="00391C5E">
            <w:pPr>
              <w:spacing w:after="0"/>
              <w:jc w:val="left"/>
              <w:rPr>
                <w:rFonts w:cs="Arial"/>
                <w:b/>
                <w:bCs/>
                <w:color w:val="000000"/>
                <w:szCs w:val="20"/>
              </w:rPr>
            </w:pPr>
            <w:r w:rsidRPr="00391C5E">
              <w:rPr>
                <w:rFonts w:cs="Arial"/>
                <w:b/>
                <w:bCs/>
                <w:color w:val="000000"/>
                <w:szCs w:val="20"/>
              </w:rPr>
              <w:t>Australian Government</w:t>
            </w:r>
          </w:p>
        </w:tc>
        <w:tc>
          <w:tcPr>
            <w:tcW w:w="1011" w:type="dxa"/>
            <w:tcBorders>
              <w:top w:val="nil"/>
              <w:left w:val="single" w:sz="4" w:space="0" w:color="FFFFFF" w:themeColor="background1"/>
              <w:bottom w:val="nil"/>
              <w:right w:val="single" w:sz="4" w:space="0" w:color="FFFFFF" w:themeColor="background1"/>
            </w:tcBorders>
            <w:shd w:val="clear" w:color="auto" w:fill="auto"/>
            <w:vAlign w:val="center"/>
            <w:hideMark/>
          </w:tcPr>
          <w:p w14:paraId="51FA59FD" w14:textId="77777777" w:rsidR="00391C5E" w:rsidRPr="00EA24DD" w:rsidRDefault="00391C5E" w:rsidP="00EA24DD">
            <w:pPr>
              <w:spacing w:after="0"/>
              <w:jc w:val="center"/>
              <w:rPr>
                <w:rFonts w:cs="Arial"/>
                <w:szCs w:val="20"/>
              </w:rPr>
            </w:pPr>
            <w:r w:rsidRPr="00EA24DD">
              <w:rPr>
                <w:rFonts w:cs="Arial"/>
                <w:szCs w:val="20"/>
              </w:rPr>
              <w:t>29</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0C5B26FD" w14:textId="77777777" w:rsidR="00391C5E" w:rsidRPr="00EA24DD" w:rsidRDefault="00391C5E" w:rsidP="00EA24DD">
            <w:pPr>
              <w:spacing w:after="0"/>
              <w:jc w:val="center"/>
              <w:rPr>
                <w:rFonts w:cs="Arial"/>
                <w:szCs w:val="20"/>
              </w:rPr>
            </w:pPr>
            <w:r w:rsidRPr="00EA24DD">
              <w:rPr>
                <w:rFonts w:cs="Arial"/>
                <w:szCs w:val="20"/>
              </w:rPr>
              <w:t>27</w:t>
            </w:r>
          </w:p>
        </w:tc>
        <w:tc>
          <w:tcPr>
            <w:tcW w:w="1011" w:type="dxa"/>
            <w:tcBorders>
              <w:top w:val="nil"/>
              <w:left w:val="single" w:sz="4" w:space="0" w:color="FFFFFF" w:themeColor="background1"/>
              <w:bottom w:val="nil"/>
              <w:right w:val="single" w:sz="4" w:space="0" w:color="FFFFFF" w:themeColor="background1"/>
            </w:tcBorders>
            <w:shd w:val="clear" w:color="auto" w:fill="auto"/>
            <w:vAlign w:val="center"/>
            <w:hideMark/>
          </w:tcPr>
          <w:p w14:paraId="1FF376DA" w14:textId="77777777" w:rsidR="00391C5E" w:rsidRPr="00EA24DD" w:rsidRDefault="00391C5E" w:rsidP="00EA24DD">
            <w:pPr>
              <w:spacing w:after="0"/>
              <w:jc w:val="center"/>
              <w:rPr>
                <w:rFonts w:cs="Arial"/>
                <w:szCs w:val="20"/>
              </w:rPr>
            </w:pPr>
            <w:r w:rsidRPr="00EA24DD">
              <w:rPr>
                <w:rFonts w:cs="Arial"/>
                <w:szCs w:val="20"/>
              </w:rPr>
              <w:t>13</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5A2352D9" w14:textId="77777777" w:rsidR="00391C5E" w:rsidRPr="00EA24DD" w:rsidRDefault="00391C5E" w:rsidP="00EA24DD">
            <w:pPr>
              <w:spacing w:after="0"/>
              <w:jc w:val="center"/>
              <w:rPr>
                <w:rFonts w:cs="Arial"/>
                <w:szCs w:val="20"/>
              </w:rPr>
            </w:pPr>
            <w:r w:rsidRPr="00EA24DD">
              <w:rPr>
                <w:rFonts w:cs="Arial"/>
                <w:szCs w:val="20"/>
              </w:rPr>
              <w:t>5</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182E3DE1" w14:textId="77777777" w:rsidR="00391C5E" w:rsidRPr="00EA24DD" w:rsidRDefault="00391C5E" w:rsidP="00EA24DD">
            <w:pPr>
              <w:spacing w:after="0"/>
              <w:jc w:val="center"/>
              <w:rPr>
                <w:rFonts w:cs="Arial"/>
                <w:szCs w:val="20"/>
              </w:rPr>
            </w:pPr>
            <w:r w:rsidRPr="00EA24DD">
              <w:rPr>
                <w:rFonts w:cs="Arial"/>
                <w:szCs w:val="20"/>
              </w:rPr>
              <w:t>20</w:t>
            </w:r>
          </w:p>
        </w:tc>
        <w:tc>
          <w:tcPr>
            <w:tcW w:w="1236" w:type="dxa"/>
            <w:tcBorders>
              <w:top w:val="nil"/>
              <w:left w:val="single" w:sz="4" w:space="0" w:color="FFFFFF" w:themeColor="background1"/>
              <w:bottom w:val="nil"/>
              <w:right w:val="single" w:sz="4" w:space="0" w:color="FFFFFF" w:themeColor="background1"/>
            </w:tcBorders>
            <w:shd w:val="clear" w:color="auto" w:fill="auto"/>
            <w:vAlign w:val="center"/>
            <w:hideMark/>
          </w:tcPr>
          <w:p w14:paraId="41089B8F" w14:textId="77777777" w:rsidR="00391C5E" w:rsidRPr="00EA24DD" w:rsidRDefault="00391C5E" w:rsidP="00EA24DD">
            <w:pPr>
              <w:spacing w:after="0"/>
              <w:jc w:val="center"/>
              <w:rPr>
                <w:rFonts w:cs="Arial"/>
                <w:szCs w:val="20"/>
              </w:rPr>
            </w:pPr>
            <w:r w:rsidRPr="00EA24DD">
              <w:rPr>
                <w:rFonts w:cs="Arial"/>
                <w:szCs w:val="20"/>
              </w:rPr>
              <w:t>7</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024486FC"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19</w:t>
            </w:r>
          </w:p>
        </w:tc>
      </w:tr>
      <w:tr w:rsidR="00B02854" w:rsidRPr="00391C5E" w14:paraId="3F007174" w14:textId="77777777" w:rsidTr="00B02854">
        <w:trPr>
          <w:trHeight w:val="300"/>
        </w:trPr>
        <w:tc>
          <w:tcPr>
            <w:tcW w:w="1961" w:type="dxa"/>
            <w:tcBorders>
              <w:top w:val="nil"/>
              <w:left w:val="single" w:sz="4" w:space="0" w:color="auto"/>
              <w:bottom w:val="nil"/>
              <w:right w:val="single" w:sz="4" w:space="0" w:color="FFFFFF" w:themeColor="background1"/>
            </w:tcBorders>
            <w:shd w:val="clear" w:color="000000" w:fill="EFD3D2"/>
            <w:vAlign w:val="center"/>
            <w:hideMark/>
          </w:tcPr>
          <w:p w14:paraId="4FAECC8C" w14:textId="77777777" w:rsidR="00391C5E" w:rsidRPr="00391C5E" w:rsidRDefault="00391C5E" w:rsidP="00391C5E">
            <w:pPr>
              <w:spacing w:after="0"/>
              <w:jc w:val="left"/>
              <w:rPr>
                <w:rFonts w:cs="Arial"/>
                <w:b/>
                <w:bCs/>
                <w:color w:val="000000"/>
                <w:szCs w:val="20"/>
              </w:rPr>
            </w:pPr>
            <w:r w:rsidRPr="00391C5E">
              <w:rPr>
                <w:rFonts w:cs="Arial"/>
                <w:b/>
                <w:bCs/>
                <w:color w:val="000000"/>
                <w:szCs w:val="20"/>
              </w:rPr>
              <w:t>New South Wales</w:t>
            </w:r>
          </w:p>
        </w:tc>
        <w:tc>
          <w:tcPr>
            <w:tcW w:w="1011"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7FE9F9C3" w14:textId="77777777" w:rsidR="00391C5E" w:rsidRPr="00EA24DD" w:rsidRDefault="00391C5E" w:rsidP="00EA24DD">
            <w:pPr>
              <w:spacing w:after="0"/>
              <w:jc w:val="center"/>
              <w:rPr>
                <w:rFonts w:cs="Arial"/>
                <w:szCs w:val="20"/>
              </w:rPr>
            </w:pPr>
            <w:r w:rsidRPr="00EA24DD">
              <w:rPr>
                <w:rFonts w:cs="Arial"/>
                <w:szCs w:val="20"/>
              </w:rPr>
              <w:t>11</w:t>
            </w:r>
          </w:p>
        </w:tc>
        <w:tc>
          <w:tcPr>
            <w:tcW w:w="1012"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4E1FA50D" w14:textId="77777777" w:rsidR="00391C5E" w:rsidRPr="00EA24DD" w:rsidRDefault="00391C5E" w:rsidP="00EA24DD">
            <w:pPr>
              <w:spacing w:after="0"/>
              <w:jc w:val="center"/>
              <w:rPr>
                <w:rFonts w:cs="Arial"/>
                <w:szCs w:val="20"/>
              </w:rPr>
            </w:pPr>
            <w:r w:rsidRPr="00EA24DD">
              <w:rPr>
                <w:rFonts w:cs="Arial"/>
                <w:szCs w:val="20"/>
              </w:rPr>
              <w:t>13</w:t>
            </w:r>
          </w:p>
        </w:tc>
        <w:tc>
          <w:tcPr>
            <w:tcW w:w="1011"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2F0BBD43" w14:textId="77777777" w:rsidR="00391C5E" w:rsidRPr="00EA24DD" w:rsidRDefault="00391C5E" w:rsidP="00EA24DD">
            <w:pPr>
              <w:spacing w:after="0"/>
              <w:jc w:val="center"/>
              <w:rPr>
                <w:rFonts w:cs="Arial"/>
                <w:szCs w:val="20"/>
              </w:rPr>
            </w:pPr>
            <w:r w:rsidRPr="00EA24DD">
              <w:rPr>
                <w:rFonts w:cs="Arial"/>
                <w:szCs w:val="20"/>
              </w:rPr>
              <w:t>21</w:t>
            </w:r>
          </w:p>
        </w:tc>
        <w:tc>
          <w:tcPr>
            <w:tcW w:w="1012"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70688F80" w14:textId="77777777" w:rsidR="00391C5E" w:rsidRPr="00EA24DD" w:rsidRDefault="00391C5E" w:rsidP="00EA24DD">
            <w:pPr>
              <w:spacing w:after="0"/>
              <w:jc w:val="center"/>
              <w:rPr>
                <w:rFonts w:cs="Arial"/>
                <w:szCs w:val="20"/>
              </w:rPr>
            </w:pPr>
            <w:r w:rsidRPr="00EA24DD">
              <w:rPr>
                <w:rFonts w:cs="Arial"/>
                <w:szCs w:val="20"/>
              </w:rPr>
              <w:t>15</w:t>
            </w:r>
          </w:p>
        </w:tc>
        <w:tc>
          <w:tcPr>
            <w:tcW w:w="1012"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76560B5F" w14:textId="77777777" w:rsidR="00391C5E" w:rsidRPr="00EA24DD" w:rsidRDefault="00391C5E" w:rsidP="00EA24DD">
            <w:pPr>
              <w:spacing w:after="0"/>
              <w:jc w:val="center"/>
              <w:rPr>
                <w:rFonts w:cs="Arial"/>
                <w:szCs w:val="20"/>
              </w:rPr>
            </w:pPr>
            <w:r w:rsidRPr="00EA24DD">
              <w:rPr>
                <w:rFonts w:cs="Arial"/>
                <w:szCs w:val="20"/>
              </w:rPr>
              <w:t>9</w:t>
            </w:r>
          </w:p>
        </w:tc>
        <w:tc>
          <w:tcPr>
            <w:tcW w:w="1236" w:type="dxa"/>
            <w:tcBorders>
              <w:top w:val="nil"/>
              <w:left w:val="single" w:sz="4" w:space="0" w:color="FFFFFF" w:themeColor="background1"/>
              <w:bottom w:val="nil"/>
              <w:right w:val="single" w:sz="4" w:space="0" w:color="FFFFFF" w:themeColor="background1"/>
            </w:tcBorders>
            <w:shd w:val="clear" w:color="000000" w:fill="EFD3D2"/>
            <w:vAlign w:val="center"/>
            <w:hideMark/>
          </w:tcPr>
          <w:p w14:paraId="5DFF2EAD" w14:textId="77777777" w:rsidR="00391C5E" w:rsidRPr="00EA24DD" w:rsidRDefault="00391C5E" w:rsidP="00EA24DD">
            <w:pPr>
              <w:spacing w:after="0"/>
              <w:jc w:val="center"/>
              <w:rPr>
                <w:rFonts w:cs="Arial"/>
                <w:szCs w:val="20"/>
              </w:rPr>
            </w:pPr>
            <w:r w:rsidRPr="00EA24DD">
              <w:rPr>
                <w:rFonts w:cs="Arial"/>
                <w:szCs w:val="20"/>
              </w:rPr>
              <w:t>10</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21AE83BB"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14</w:t>
            </w:r>
          </w:p>
        </w:tc>
      </w:tr>
      <w:tr w:rsidR="00B02854" w:rsidRPr="00391C5E" w14:paraId="67770188" w14:textId="77777777" w:rsidTr="00B02854">
        <w:trPr>
          <w:trHeight w:val="300"/>
        </w:trPr>
        <w:tc>
          <w:tcPr>
            <w:tcW w:w="1961" w:type="dxa"/>
            <w:tcBorders>
              <w:top w:val="nil"/>
              <w:left w:val="single" w:sz="4" w:space="0" w:color="auto"/>
              <w:bottom w:val="nil"/>
              <w:right w:val="single" w:sz="4" w:space="0" w:color="FFFFFF" w:themeColor="background1"/>
            </w:tcBorders>
            <w:shd w:val="clear" w:color="auto" w:fill="auto"/>
            <w:vAlign w:val="center"/>
            <w:hideMark/>
          </w:tcPr>
          <w:p w14:paraId="0F0D44C9" w14:textId="2DC13912" w:rsidR="00391C5E" w:rsidRPr="00295209" w:rsidRDefault="00391C5E" w:rsidP="00391C5E">
            <w:pPr>
              <w:spacing w:after="0"/>
              <w:jc w:val="left"/>
              <w:rPr>
                <w:rFonts w:cs="Arial"/>
                <w:b/>
                <w:bCs/>
                <w:color w:val="000000"/>
                <w:szCs w:val="20"/>
                <w:vertAlign w:val="superscript"/>
              </w:rPr>
            </w:pPr>
            <w:r w:rsidRPr="00391C5E">
              <w:rPr>
                <w:rFonts w:cs="Arial"/>
                <w:b/>
                <w:bCs/>
                <w:color w:val="000000"/>
                <w:szCs w:val="20"/>
              </w:rPr>
              <w:t>Queensland</w:t>
            </w:r>
            <w:r w:rsidR="00295209">
              <w:rPr>
                <w:rFonts w:cs="Arial"/>
                <w:b/>
                <w:bCs/>
                <w:color w:val="000000"/>
                <w:szCs w:val="20"/>
                <w:vertAlign w:val="superscript"/>
              </w:rPr>
              <w:t xml:space="preserve"> (b)</w:t>
            </w:r>
          </w:p>
        </w:tc>
        <w:tc>
          <w:tcPr>
            <w:tcW w:w="1011" w:type="dxa"/>
            <w:tcBorders>
              <w:top w:val="nil"/>
              <w:left w:val="single" w:sz="4" w:space="0" w:color="FFFFFF" w:themeColor="background1"/>
              <w:bottom w:val="nil"/>
              <w:right w:val="single" w:sz="4" w:space="0" w:color="FFFFFF" w:themeColor="background1"/>
            </w:tcBorders>
            <w:shd w:val="clear" w:color="auto" w:fill="auto"/>
            <w:vAlign w:val="center"/>
            <w:hideMark/>
          </w:tcPr>
          <w:p w14:paraId="0B149E1A" w14:textId="77777777" w:rsidR="00391C5E" w:rsidRPr="00EA24DD" w:rsidRDefault="00391C5E" w:rsidP="00EA24DD">
            <w:pPr>
              <w:spacing w:after="0"/>
              <w:jc w:val="center"/>
              <w:rPr>
                <w:rFonts w:cs="Arial"/>
                <w:szCs w:val="20"/>
              </w:rPr>
            </w:pPr>
            <w:r w:rsidRPr="00EA24DD">
              <w:rPr>
                <w:rFonts w:cs="Arial"/>
                <w:szCs w:val="20"/>
              </w:rPr>
              <w:t>13</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3101FF12" w14:textId="77777777" w:rsidR="00391C5E" w:rsidRPr="00EA24DD" w:rsidRDefault="00391C5E" w:rsidP="00EA24DD">
            <w:pPr>
              <w:spacing w:after="0"/>
              <w:jc w:val="center"/>
              <w:rPr>
                <w:rFonts w:cs="Arial"/>
                <w:szCs w:val="20"/>
              </w:rPr>
            </w:pPr>
            <w:r w:rsidRPr="00EA24DD">
              <w:rPr>
                <w:rFonts w:cs="Arial"/>
                <w:szCs w:val="20"/>
              </w:rPr>
              <w:t>19</w:t>
            </w:r>
          </w:p>
        </w:tc>
        <w:tc>
          <w:tcPr>
            <w:tcW w:w="1011" w:type="dxa"/>
            <w:tcBorders>
              <w:top w:val="nil"/>
              <w:left w:val="single" w:sz="4" w:space="0" w:color="FFFFFF" w:themeColor="background1"/>
              <w:bottom w:val="nil"/>
              <w:right w:val="single" w:sz="4" w:space="0" w:color="FFFFFF" w:themeColor="background1"/>
            </w:tcBorders>
            <w:shd w:val="clear" w:color="auto" w:fill="auto"/>
            <w:vAlign w:val="center"/>
            <w:hideMark/>
          </w:tcPr>
          <w:p w14:paraId="34A33526" w14:textId="77777777" w:rsidR="00391C5E" w:rsidRPr="00EA24DD" w:rsidRDefault="00391C5E" w:rsidP="00EA24DD">
            <w:pPr>
              <w:spacing w:after="0"/>
              <w:jc w:val="center"/>
              <w:rPr>
                <w:rFonts w:cs="Arial"/>
                <w:szCs w:val="20"/>
              </w:rPr>
            </w:pPr>
            <w:r w:rsidRPr="00EA24DD">
              <w:rPr>
                <w:rFonts w:cs="Arial"/>
                <w:szCs w:val="20"/>
              </w:rPr>
              <w:t>20</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743AC3F3" w14:textId="77777777" w:rsidR="00391C5E" w:rsidRPr="00EA24DD" w:rsidRDefault="00391C5E" w:rsidP="00EA24DD">
            <w:pPr>
              <w:spacing w:after="0"/>
              <w:jc w:val="center"/>
              <w:rPr>
                <w:rFonts w:cs="Arial"/>
                <w:szCs w:val="20"/>
              </w:rPr>
            </w:pPr>
            <w:r w:rsidRPr="00EA24DD">
              <w:rPr>
                <w:rFonts w:cs="Arial"/>
                <w:szCs w:val="20"/>
              </w:rPr>
              <w:t>12</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0D7C369E" w14:textId="77777777" w:rsidR="00391C5E" w:rsidRPr="00EA24DD" w:rsidRDefault="00391C5E" w:rsidP="00EA24DD">
            <w:pPr>
              <w:spacing w:after="0"/>
              <w:jc w:val="center"/>
              <w:rPr>
                <w:rFonts w:cs="Arial"/>
                <w:szCs w:val="20"/>
              </w:rPr>
            </w:pPr>
            <w:r w:rsidRPr="00EA24DD">
              <w:rPr>
                <w:rFonts w:cs="Arial"/>
                <w:szCs w:val="20"/>
              </w:rPr>
              <w:t>8</w:t>
            </w:r>
          </w:p>
        </w:tc>
        <w:tc>
          <w:tcPr>
            <w:tcW w:w="1236" w:type="dxa"/>
            <w:tcBorders>
              <w:top w:val="nil"/>
              <w:left w:val="single" w:sz="4" w:space="0" w:color="FFFFFF" w:themeColor="background1"/>
              <w:bottom w:val="nil"/>
              <w:right w:val="single" w:sz="4" w:space="0" w:color="FFFFFF" w:themeColor="background1"/>
            </w:tcBorders>
            <w:shd w:val="clear" w:color="auto" w:fill="auto"/>
            <w:vAlign w:val="center"/>
            <w:hideMark/>
          </w:tcPr>
          <w:p w14:paraId="71481041" w14:textId="77777777" w:rsidR="00391C5E" w:rsidRPr="00EA24DD" w:rsidRDefault="00391C5E" w:rsidP="00EA24DD">
            <w:pPr>
              <w:spacing w:after="0"/>
              <w:jc w:val="center"/>
              <w:rPr>
                <w:rFonts w:cs="Arial"/>
                <w:szCs w:val="20"/>
              </w:rPr>
            </w:pPr>
            <w:r w:rsidRPr="00EA24DD">
              <w:rPr>
                <w:rFonts w:cs="Arial"/>
                <w:szCs w:val="20"/>
              </w:rPr>
              <w:t>5</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74A48B0A"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14</w:t>
            </w:r>
          </w:p>
        </w:tc>
      </w:tr>
      <w:tr w:rsidR="00B02854" w:rsidRPr="00391C5E" w14:paraId="378259F4" w14:textId="77777777" w:rsidTr="00B02854">
        <w:trPr>
          <w:trHeight w:val="300"/>
        </w:trPr>
        <w:tc>
          <w:tcPr>
            <w:tcW w:w="1961" w:type="dxa"/>
            <w:tcBorders>
              <w:top w:val="nil"/>
              <w:left w:val="single" w:sz="4" w:space="0" w:color="auto"/>
              <w:bottom w:val="nil"/>
              <w:right w:val="single" w:sz="4" w:space="0" w:color="FFFFFF" w:themeColor="background1"/>
            </w:tcBorders>
            <w:shd w:val="clear" w:color="000000" w:fill="EFD2D1"/>
            <w:vAlign w:val="center"/>
            <w:hideMark/>
          </w:tcPr>
          <w:p w14:paraId="5B82A4D5" w14:textId="77777777" w:rsidR="00391C5E" w:rsidRPr="00391C5E" w:rsidRDefault="00391C5E" w:rsidP="00391C5E">
            <w:pPr>
              <w:spacing w:after="0"/>
              <w:jc w:val="left"/>
              <w:rPr>
                <w:rFonts w:cs="Arial"/>
                <w:b/>
                <w:bCs/>
                <w:color w:val="000000"/>
                <w:szCs w:val="20"/>
              </w:rPr>
            </w:pPr>
            <w:r w:rsidRPr="00391C5E">
              <w:rPr>
                <w:rFonts w:cs="Arial"/>
                <w:b/>
                <w:bCs/>
                <w:color w:val="000000"/>
                <w:szCs w:val="20"/>
              </w:rPr>
              <w:t>South Australia</w:t>
            </w:r>
          </w:p>
        </w:tc>
        <w:tc>
          <w:tcPr>
            <w:tcW w:w="1011"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3DFA64D5" w14:textId="77777777" w:rsidR="00391C5E" w:rsidRPr="00EA24DD" w:rsidRDefault="00391C5E" w:rsidP="00EA24DD">
            <w:pPr>
              <w:spacing w:after="0"/>
              <w:jc w:val="center"/>
              <w:rPr>
                <w:rFonts w:cs="Arial"/>
                <w:szCs w:val="20"/>
              </w:rPr>
            </w:pPr>
            <w:r w:rsidRPr="00EA24DD">
              <w:rPr>
                <w:rFonts w:cs="Arial"/>
                <w:szCs w:val="20"/>
              </w:rPr>
              <w:t>5</w:t>
            </w:r>
          </w:p>
        </w:tc>
        <w:tc>
          <w:tcPr>
            <w:tcW w:w="1012"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49FB16F8" w14:textId="77777777" w:rsidR="00391C5E" w:rsidRPr="00EA24DD" w:rsidRDefault="00391C5E" w:rsidP="00EA24DD">
            <w:pPr>
              <w:spacing w:after="0"/>
              <w:jc w:val="center"/>
              <w:rPr>
                <w:rFonts w:cs="Arial"/>
                <w:szCs w:val="20"/>
              </w:rPr>
            </w:pPr>
            <w:r w:rsidRPr="00EA24DD">
              <w:rPr>
                <w:rFonts w:cs="Arial"/>
                <w:szCs w:val="20"/>
              </w:rPr>
              <w:t>8</w:t>
            </w:r>
          </w:p>
        </w:tc>
        <w:tc>
          <w:tcPr>
            <w:tcW w:w="1011"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40AD0EE5" w14:textId="77777777" w:rsidR="00391C5E" w:rsidRPr="00EA24DD" w:rsidRDefault="00391C5E" w:rsidP="00EA24DD">
            <w:pPr>
              <w:spacing w:after="0"/>
              <w:jc w:val="center"/>
              <w:rPr>
                <w:rFonts w:cs="Arial"/>
                <w:szCs w:val="20"/>
              </w:rPr>
            </w:pPr>
            <w:r w:rsidRPr="00EA24DD">
              <w:rPr>
                <w:rFonts w:cs="Arial"/>
                <w:szCs w:val="20"/>
              </w:rPr>
              <w:t>6</w:t>
            </w:r>
          </w:p>
        </w:tc>
        <w:tc>
          <w:tcPr>
            <w:tcW w:w="1012"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4A21491F" w14:textId="77777777" w:rsidR="00391C5E" w:rsidRPr="00EA24DD" w:rsidRDefault="00391C5E" w:rsidP="00EA24DD">
            <w:pPr>
              <w:spacing w:after="0"/>
              <w:jc w:val="center"/>
              <w:rPr>
                <w:rFonts w:cs="Arial"/>
                <w:szCs w:val="20"/>
              </w:rPr>
            </w:pPr>
            <w:r w:rsidRPr="00EA24DD">
              <w:rPr>
                <w:rFonts w:cs="Arial"/>
                <w:szCs w:val="20"/>
              </w:rPr>
              <w:t>4</w:t>
            </w:r>
          </w:p>
        </w:tc>
        <w:tc>
          <w:tcPr>
            <w:tcW w:w="1012"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79FF139C" w14:textId="77777777" w:rsidR="00391C5E" w:rsidRPr="00EA24DD" w:rsidRDefault="00391C5E" w:rsidP="00EA24DD">
            <w:pPr>
              <w:spacing w:after="0"/>
              <w:jc w:val="center"/>
              <w:rPr>
                <w:rFonts w:cs="Arial"/>
                <w:szCs w:val="20"/>
              </w:rPr>
            </w:pPr>
            <w:r w:rsidRPr="00EA24DD">
              <w:rPr>
                <w:rFonts w:cs="Arial"/>
                <w:szCs w:val="20"/>
              </w:rPr>
              <w:t>4</w:t>
            </w:r>
          </w:p>
        </w:tc>
        <w:tc>
          <w:tcPr>
            <w:tcW w:w="1236"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49A03059" w14:textId="77777777" w:rsidR="00391C5E" w:rsidRPr="00EA24DD" w:rsidRDefault="00391C5E" w:rsidP="00EA24DD">
            <w:pPr>
              <w:spacing w:after="0"/>
              <w:jc w:val="center"/>
              <w:rPr>
                <w:rFonts w:cs="Arial"/>
                <w:szCs w:val="20"/>
              </w:rPr>
            </w:pPr>
            <w:r w:rsidRPr="00EA24DD">
              <w:rPr>
                <w:rFonts w:cs="Arial"/>
                <w:szCs w:val="20"/>
              </w:rPr>
              <w:t>1</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216B96BB"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5</w:t>
            </w:r>
          </w:p>
        </w:tc>
      </w:tr>
      <w:tr w:rsidR="00B02854" w:rsidRPr="00391C5E" w14:paraId="7DAED1FA" w14:textId="77777777" w:rsidTr="00B02854">
        <w:trPr>
          <w:trHeight w:val="300"/>
        </w:trPr>
        <w:tc>
          <w:tcPr>
            <w:tcW w:w="1961" w:type="dxa"/>
            <w:tcBorders>
              <w:top w:val="nil"/>
              <w:left w:val="single" w:sz="4" w:space="0" w:color="auto"/>
              <w:bottom w:val="nil"/>
              <w:right w:val="single" w:sz="4" w:space="0" w:color="FFFFFF" w:themeColor="background1"/>
            </w:tcBorders>
            <w:shd w:val="clear" w:color="auto" w:fill="auto"/>
            <w:vAlign w:val="center"/>
            <w:hideMark/>
          </w:tcPr>
          <w:p w14:paraId="1EC1AD33" w14:textId="77777777" w:rsidR="00391C5E" w:rsidRPr="00391C5E" w:rsidRDefault="00391C5E" w:rsidP="00391C5E">
            <w:pPr>
              <w:spacing w:after="0"/>
              <w:jc w:val="left"/>
              <w:rPr>
                <w:rFonts w:cs="Arial"/>
                <w:b/>
                <w:bCs/>
                <w:color w:val="000000"/>
                <w:szCs w:val="20"/>
              </w:rPr>
            </w:pPr>
            <w:r w:rsidRPr="00391C5E">
              <w:rPr>
                <w:rFonts w:cs="Arial"/>
                <w:b/>
                <w:bCs/>
                <w:color w:val="000000"/>
                <w:szCs w:val="20"/>
              </w:rPr>
              <w:t>Western Australia</w:t>
            </w:r>
          </w:p>
        </w:tc>
        <w:tc>
          <w:tcPr>
            <w:tcW w:w="1011" w:type="dxa"/>
            <w:tcBorders>
              <w:top w:val="nil"/>
              <w:left w:val="single" w:sz="4" w:space="0" w:color="FFFFFF" w:themeColor="background1"/>
              <w:bottom w:val="nil"/>
              <w:right w:val="single" w:sz="4" w:space="0" w:color="FFFFFF" w:themeColor="background1"/>
            </w:tcBorders>
            <w:shd w:val="clear" w:color="auto" w:fill="auto"/>
            <w:vAlign w:val="center"/>
            <w:hideMark/>
          </w:tcPr>
          <w:p w14:paraId="071E42EA" w14:textId="77777777" w:rsidR="00391C5E" w:rsidRPr="00EA24DD" w:rsidRDefault="00391C5E" w:rsidP="00EA24DD">
            <w:pPr>
              <w:spacing w:after="0"/>
              <w:jc w:val="center"/>
              <w:rPr>
                <w:rFonts w:cs="Arial"/>
                <w:szCs w:val="20"/>
              </w:rPr>
            </w:pPr>
            <w:r w:rsidRPr="00EA24DD">
              <w:rPr>
                <w:rFonts w:cs="Arial"/>
                <w:szCs w:val="20"/>
              </w:rPr>
              <w:t>5</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2EF9C621" w14:textId="77777777" w:rsidR="00391C5E" w:rsidRPr="00EA24DD" w:rsidRDefault="00391C5E" w:rsidP="00EA24DD">
            <w:pPr>
              <w:spacing w:after="0"/>
              <w:jc w:val="center"/>
              <w:rPr>
                <w:rFonts w:cs="Arial"/>
                <w:szCs w:val="20"/>
              </w:rPr>
            </w:pPr>
            <w:r w:rsidRPr="00EA24DD">
              <w:rPr>
                <w:rFonts w:cs="Arial"/>
                <w:szCs w:val="20"/>
              </w:rPr>
              <w:t>4</w:t>
            </w:r>
          </w:p>
        </w:tc>
        <w:tc>
          <w:tcPr>
            <w:tcW w:w="1011" w:type="dxa"/>
            <w:tcBorders>
              <w:top w:val="nil"/>
              <w:left w:val="single" w:sz="4" w:space="0" w:color="FFFFFF" w:themeColor="background1"/>
              <w:bottom w:val="nil"/>
              <w:right w:val="single" w:sz="4" w:space="0" w:color="FFFFFF" w:themeColor="background1"/>
            </w:tcBorders>
            <w:shd w:val="clear" w:color="auto" w:fill="auto"/>
            <w:vAlign w:val="center"/>
            <w:hideMark/>
          </w:tcPr>
          <w:p w14:paraId="3F329F87" w14:textId="77777777" w:rsidR="00391C5E" w:rsidRPr="00EA24DD" w:rsidRDefault="00391C5E" w:rsidP="00EA24DD">
            <w:pPr>
              <w:spacing w:after="0"/>
              <w:jc w:val="center"/>
              <w:rPr>
                <w:rFonts w:cs="Arial"/>
                <w:szCs w:val="20"/>
              </w:rPr>
            </w:pPr>
            <w:r w:rsidRPr="00EA24DD">
              <w:rPr>
                <w:rFonts w:cs="Arial"/>
                <w:szCs w:val="20"/>
              </w:rPr>
              <w:t>5</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141ED915" w14:textId="77777777" w:rsidR="00391C5E" w:rsidRPr="00EA24DD" w:rsidRDefault="00391C5E" w:rsidP="00EA24DD">
            <w:pPr>
              <w:spacing w:after="0"/>
              <w:jc w:val="center"/>
              <w:rPr>
                <w:rFonts w:cs="Arial"/>
                <w:szCs w:val="20"/>
              </w:rPr>
            </w:pPr>
            <w:r w:rsidRPr="00EA24DD">
              <w:rPr>
                <w:rFonts w:cs="Arial"/>
                <w:szCs w:val="20"/>
              </w:rPr>
              <w:t>3</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7E7AC8B3" w14:textId="77777777" w:rsidR="00391C5E" w:rsidRPr="00EA24DD" w:rsidRDefault="00391C5E" w:rsidP="00EA24DD">
            <w:pPr>
              <w:spacing w:after="0"/>
              <w:jc w:val="center"/>
              <w:rPr>
                <w:rFonts w:cs="Arial"/>
                <w:szCs w:val="20"/>
              </w:rPr>
            </w:pPr>
            <w:r w:rsidRPr="00EA24DD">
              <w:rPr>
                <w:rFonts w:cs="Arial"/>
                <w:szCs w:val="20"/>
              </w:rPr>
              <w:t>3</w:t>
            </w:r>
          </w:p>
        </w:tc>
        <w:tc>
          <w:tcPr>
            <w:tcW w:w="1236" w:type="dxa"/>
            <w:tcBorders>
              <w:top w:val="nil"/>
              <w:left w:val="single" w:sz="4" w:space="0" w:color="FFFFFF" w:themeColor="background1"/>
              <w:bottom w:val="nil"/>
              <w:right w:val="single" w:sz="4" w:space="0" w:color="FFFFFF" w:themeColor="background1"/>
            </w:tcBorders>
            <w:shd w:val="clear" w:color="auto" w:fill="auto"/>
            <w:vAlign w:val="center"/>
            <w:hideMark/>
          </w:tcPr>
          <w:p w14:paraId="47728592" w14:textId="77777777" w:rsidR="00391C5E" w:rsidRPr="00EA24DD" w:rsidRDefault="00391C5E" w:rsidP="00EA24DD">
            <w:pPr>
              <w:spacing w:after="0"/>
              <w:jc w:val="center"/>
              <w:rPr>
                <w:rFonts w:cs="Arial"/>
                <w:szCs w:val="20"/>
              </w:rPr>
            </w:pPr>
            <w:r w:rsidRPr="00EA24DD">
              <w:rPr>
                <w:rFonts w:cs="Arial"/>
                <w:szCs w:val="20"/>
              </w:rPr>
              <w:t>1</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0F7B0656"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4</w:t>
            </w:r>
          </w:p>
        </w:tc>
      </w:tr>
      <w:tr w:rsidR="00B02854" w:rsidRPr="00391C5E" w14:paraId="5D31AF97" w14:textId="77777777" w:rsidTr="00B02854">
        <w:trPr>
          <w:trHeight w:val="300"/>
        </w:trPr>
        <w:tc>
          <w:tcPr>
            <w:tcW w:w="1961" w:type="dxa"/>
            <w:tcBorders>
              <w:top w:val="nil"/>
              <w:left w:val="single" w:sz="4" w:space="0" w:color="auto"/>
              <w:bottom w:val="nil"/>
              <w:right w:val="single" w:sz="4" w:space="0" w:color="FFFFFF" w:themeColor="background1"/>
            </w:tcBorders>
            <w:shd w:val="clear" w:color="auto" w:fill="EFD2D1"/>
            <w:vAlign w:val="center"/>
            <w:hideMark/>
          </w:tcPr>
          <w:p w14:paraId="36BA61A0" w14:textId="77777777" w:rsidR="00391C5E" w:rsidRPr="00391C5E" w:rsidRDefault="00391C5E" w:rsidP="00391C5E">
            <w:pPr>
              <w:spacing w:after="0"/>
              <w:jc w:val="left"/>
              <w:rPr>
                <w:rFonts w:cs="Arial"/>
                <w:b/>
                <w:bCs/>
                <w:color w:val="000000"/>
                <w:szCs w:val="20"/>
              </w:rPr>
            </w:pPr>
            <w:r w:rsidRPr="00391C5E">
              <w:rPr>
                <w:rFonts w:cs="Arial"/>
                <w:b/>
                <w:bCs/>
                <w:color w:val="000000"/>
                <w:szCs w:val="20"/>
              </w:rPr>
              <w:t>Tasmania</w:t>
            </w:r>
          </w:p>
        </w:tc>
        <w:tc>
          <w:tcPr>
            <w:tcW w:w="1011"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27401011" w14:textId="735FA787" w:rsidR="00391C5E" w:rsidRPr="00EA24DD" w:rsidRDefault="00EA24DD" w:rsidP="00EA24DD">
            <w:pPr>
              <w:spacing w:after="0"/>
              <w:jc w:val="center"/>
              <w:rPr>
                <w:rFonts w:cs="Arial"/>
                <w:szCs w:val="20"/>
              </w:rPr>
            </w:pPr>
            <w:r w:rsidRPr="00EA24DD">
              <w:rPr>
                <w:rFonts w:cs="Arial"/>
                <w:szCs w:val="20"/>
              </w:rPr>
              <w:t>0</w:t>
            </w:r>
          </w:p>
        </w:tc>
        <w:tc>
          <w:tcPr>
            <w:tcW w:w="1012"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5FB526F4" w14:textId="77777777" w:rsidR="00391C5E" w:rsidRPr="00EA24DD" w:rsidRDefault="00391C5E" w:rsidP="00EA24DD">
            <w:pPr>
              <w:spacing w:after="0"/>
              <w:jc w:val="center"/>
              <w:rPr>
                <w:rFonts w:cs="Arial"/>
                <w:szCs w:val="20"/>
              </w:rPr>
            </w:pPr>
            <w:r w:rsidRPr="00EA24DD">
              <w:rPr>
                <w:rFonts w:cs="Arial"/>
                <w:szCs w:val="20"/>
              </w:rPr>
              <w:t>4</w:t>
            </w:r>
          </w:p>
        </w:tc>
        <w:tc>
          <w:tcPr>
            <w:tcW w:w="1011"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43A4431F" w14:textId="77777777" w:rsidR="00391C5E" w:rsidRPr="00EA24DD" w:rsidRDefault="00391C5E" w:rsidP="00EA24DD">
            <w:pPr>
              <w:spacing w:after="0"/>
              <w:jc w:val="center"/>
              <w:rPr>
                <w:rFonts w:cs="Arial"/>
                <w:szCs w:val="20"/>
              </w:rPr>
            </w:pPr>
            <w:r w:rsidRPr="00EA24DD">
              <w:rPr>
                <w:rFonts w:cs="Arial"/>
                <w:szCs w:val="20"/>
              </w:rPr>
              <w:t>2</w:t>
            </w:r>
          </w:p>
        </w:tc>
        <w:tc>
          <w:tcPr>
            <w:tcW w:w="1012"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0FAFC5FF" w14:textId="77777777" w:rsidR="00391C5E" w:rsidRPr="00EA24DD" w:rsidRDefault="00391C5E" w:rsidP="00EA24DD">
            <w:pPr>
              <w:spacing w:after="0"/>
              <w:jc w:val="center"/>
              <w:rPr>
                <w:rFonts w:cs="Arial"/>
                <w:szCs w:val="20"/>
              </w:rPr>
            </w:pPr>
            <w:r w:rsidRPr="00EA24DD">
              <w:rPr>
                <w:rFonts w:cs="Arial"/>
                <w:szCs w:val="20"/>
              </w:rPr>
              <w:t>2</w:t>
            </w:r>
          </w:p>
        </w:tc>
        <w:tc>
          <w:tcPr>
            <w:tcW w:w="1012"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654B70EC" w14:textId="37AAE113" w:rsidR="00391C5E" w:rsidRPr="00EA24DD" w:rsidRDefault="00EA24DD" w:rsidP="00EA24DD">
            <w:pPr>
              <w:spacing w:after="0"/>
              <w:jc w:val="center"/>
              <w:rPr>
                <w:rFonts w:cs="Arial"/>
                <w:szCs w:val="20"/>
              </w:rPr>
            </w:pPr>
            <w:r w:rsidRPr="00EA24DD">
              <w:rPr>
                <w:rFonts w:cs="Arial"/>
                <w:szCs w:val="20"/>
              </w:rPr>
              <w:t>0</w:t>
            </w:r>
          </w:p>
        </w:tc>
        <w:tc>
          <w:tcPr>
            <w:tcW w:w="1236" w:type="dxa"/>
            <w:tcBorders>
              <w:top w:val="nil"/>
              <w:left w:val="single" w:sz="4" w:space="0" w:color="FFFFFF" w:themeColor="background1"/>
              <w:bottom w:val="nil"/>
              <w:right w:val="single" w:sz="4" w:space="0" w:color="FFFFFF" w:themeColor="background1"/>
            </w:tcBorders>
            <w:shd w:val="clear" w:color="000000" w:fill="EFD2D1"/>
            <w:vAlign w:val="center"/>
            <w:hideMark/>
          </w:tcPr>
          <w:p w14:paraId="1A37EACC" w14:textId="77777777" w:rsidR="00391C5E" w:rsidRPr="00EA24DD" w:rsidRDefault="00391C5E" w:rsidP="00EA24DD">
            <w:pPr>
              <w:spacing w:after="0"/>
              <w:jc w:val="center"/>
              <w:rPr>
                <w:rFonts w:cs="Arial"/>
                <w:szCs w:val="20"/>
              </w:rPr>
            </w:pPr>
            <w:r w:rsidRPr="00EA24DD">
              <w:rPr>
                <w:rFonts w:cs="Arial"/>
                <w:szCs w:val="20"/>
              </w:rPr>
              <w:t>1</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6E375E83" w14:textId="5DC4DCFD" w:rsidR="00391C5E" w:rsidRPr="00391C5E" w:rsidRDefault="00F4317F" w:rsidP="00391C5E">
            <w:pPr>
              <w:spacing w:after="0"/>
              <w:jc w:val="center"/>
              <w:rPr>
                <w:rFonts w:cs="Arial"/>
                <w:b/>
                <w:bCs/>
                <w:color w:val="FFFFFF"/>
                <w:szCs w:val="20"/>
              </w:rPr>
            </w:pPr>
            <w:r>
              <w:rPr>
                <w:rFonts w:cs="Arial"/>
                <w:b/>
                <w:bCs/>
                <w:color w:val="FFFFFF"/>
                <w:szCs w:val="20"/>
              </w:rPr>
              <w:t>2</w:t>
            </w:r>
          </w:p>
        </w:tc>
      </w:tr>
      <w:tr w:rsidR="00F4317F" w:rsidRPr="00391C5E" w14:paraId="4129851C" w14:textId="77777777" w:rsidTr="00B02854">
        <w:trPr>
          <w:trHeight w:val="300"/>
        </w:trPr>
        <w:tc>
          <w:tcPr>
            <w:tcW w:w="1961" w:type="dxa"/>
            <w:tcBorders>
              <w:top w:val="nil"/>
              <w:left w:val="single" w:sz="4" w:space="0" w:color="auto"/>
              <w:bottom w:val="nil"/>
              <w:right w:val="single" w:sz="4" w:space="0" w:color="FFFFFF" w:themeColor="background1"/>
            </w:tcBorders>
            <w:shd w:val="clear" w:color="auto" w:fill="auto"/>
            <w:vAlign w:val="center"/>
            <w:hideMark/>
          </w:tcPr>
          <w:p w14:paraId="00BF848C" w14:textId="77777777" w:rsidR="00F4317F" w:rsidRPr="00391C5E" w:rsidRDefault="00F4317F" w:rsidP="00906EF9">
            <w:pPr>
              <w:spacing w:after="0"/>
              <w:jc w:val="left"/>
              <w:rPr>
                <w:rFonts w:cs="Arial"/>
                <w:b/>
                <w:bCs/>
                <w:color w:val="000000"/>
                <w:szCs w:val="20"/>
              </w:rPr>
            </w:pPr>
            <w:r w:rsidRPr="00391C5E">
              <w:rPr>
                <w:rFonts w:cs="Arial"/>
                <w:b/>
                <w:bCs/>
                <w:color w:val="000000"/>
                <w:szCs w:val="20"/>
              </w:rPr>
              <w:t xml:space="preserve">Australian Capital Territory </w:t>
            </w:r>
          </w:p>
        </w:tc>
        <w:tc>
          <w:tcPr>
            <w:tcW w:w="1011" w:type="dxa"/>
            <w:tcBorders>
              <w:top w:val="nil"/>
              <w:left w:val="single" w:sz="4" w:space="0" w:color="FFFFFF" w:themeColor="background1"/>
              <w:bottom w:val="nil"/>
              <w:right w:val="single" w:sz="4" w:space="0" w:color="FFFFFF" w:themeColor="background1"/>
            </w:tcBorders>
            <w:shd w:val="clear" w:color="auto" w:fill="auto"/>
            <w:vAlign w:val="center"/>
            <w:hideMark/>
          </w:tcPr>
          <w:p w14:paraId="4E4C9572" w14:textId="77777777" w:rsidR="00F4317F" w:rsidRPr="00EA24DD" w:rsidRDefault="00F4317F" w:rsidP="00906EF9">
            <w:pPr>
              <w:spacing w:after="0"/>
              <w:jc w:val="center"/>
              <w:rPr>
                <w:rFonts w:cs="Arial"/>
                <w:szCs w:val="20"/>
              </w:rPr>
            </w:pPr>
            <w:r w:rsidRPr="00EA24DD">
              <w:rPr>
                <w:rFonts w:cs="Arial"/>
                <w:szCs w:val="20"/>
              </w:rPr>
              <w:t>1</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6B0E2528" w14:textId="77777777" w:rsidR="00F4317F" w:rsidRPr="00EA24DD" w:rsidRDefault="00F4317F" w:rsidP="00906EF9">
            <w:pPr>
              <w:spacing w:after="0"/>
              <w:jc w:val="center"/>
              <w:rPr>
                <w:rFonts w:cs="Arial"/>
                <w:szCs w:val="20"/>
              </w:rPr>
            </w:pPr>
            <w:r w:rsidRPr="00EA24DD">
              <w:rPr>
                <w:rFonts w:cs="Arial"/>
                <w:szCs w:val="20"/>
              </w:rPr>
              <w:t>0</w:t>
            </w:r>
          </w:p>
        </w:tc>
        <w:tc>
          <w:tcPr>
            <w:tcW w:w="1011" w:type="dxa"/>
            <w:tcBorders>
              <w:top w:val="nil"/>
              <w:left w:val="single" w:sz="4" w:space="0" w:color="FFFFFF" w:themeColor="background1"/>
              <w:bottom w:val="nil"/>
              <w:right w:val="single" w:sz="4" w:space="0" w:color="FFFFFF" w:themeColor="background1"/>
            </w:tcBorders>
            <w:shd w:val="clear" w:color="auto" w:fill="auto"/>
            <w:vAlign w:val="center"/>
            <w:hideMark/>
          </w:tcPr>
          <w:p w14:paraId="18B466AC" w14:textId="77777777" w:rsidR="00F4317F" w:rsidRPr="00EA24DD" w:rsidRDefault="00F4317F" w:rsidP="00906EF9">
            <w:pPr>
              <w:spacing w:after="0"/>
              <w:jc w:val="center"/>
              <w:rPr>
                <w:rFonts w:cs="Arial"/>
                <w:szCs w:val="20"/>
              </w:rPr>
            </w:pPr>
            <w:r w:rsidRPr="00EA24DD">
              <w:rPr>
                <w:rFonts w:cs="Arial"/>
                <w:szCs w:val="20"/>
              </w:rPr>
              <w:t>1</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5BD380C4" w14:textId="77777777" w:rsidR="00F4317F" w:rsidRPr="00EA24DD" w:rsidRDefault="00F4317F" w:rsidP="00906EF9">
            <w:pPr>
              <w:spacing w:after="0"/>
              <w:jc w:val="center"/>
              <w:rPr>
                <w:rFonts w:cs="Arial"/>
                <w:szCs w:val="20"/>
              </w:rPr>
            </w:pPr>
            <w:r w:rsidRPr="00EA24DD">
              <w:rPr>
                <w:rFonts w:cs="Arial"/>
                <w:szCs w:val="20"/>
              </w:rPr>
              <w:t>0</w:t>
            </w:r>
          </w:p>
        </w:tc>
        <w:tc>
          <w:tcPr>
            <w:tcW w:w="1012" w:type="dxa"/>
            <w:tcBorders>
              <w:top w:val="nil"/>
              <w:left w:val="single" w:sz="4" w:space="0" w:color="FFFFFF" w:themeColor="background1"/>
              <w:bottom w:val="nil"/>
              <w:right w:val="single" w:sz="4" w:space="0" w:color="FFFFFF" w:themeColor="background1"/>
            </w:tcBorders>
            <w:shd w:val="clear" w:color="auto" w:fill="auto"/>
            <w:vAlign w:val="center"/>
            <w:hideMark/>
          </w:tcPr>
          <w:p w14:paraId="5BFFC674" w14:textId="77777777" w:rsidR="00F4317F" w:rsidRPr="00EA24DD" w:rsidRDefault="00F4317F" w:rsidP="00906EF9">
            <w:pPr>
              <w:spacing w:after="0"/>
              <w:jc w:val="center"/>
              <w:rPr>
                <w:rFonts w:cs="Arial"/>
                <w:szCs w:val="20"/>
              </w:rPr>
            </w:pPr>
            <w:r w:rsidRPr="00EA24DD">
              <w:rPr>
                <w:rFonts w:cs="Arial"/>
                <w:szCs w:val="20"/>
              </w:rPr>
              <w:t>2</w:t>
            </w:r>
          </w:p>
        </w:tc>
        <w:tc>
          <w:tcPr>
            <w:tcW w:w="1236" w:type="dxa"/>
            <w:tcBorders>
              <w:top w:val="nil"/>
              <w:left w:val="single" w:sz="4" w:space="0" w:color="FFFFFF" w:themeColor="background1"/>
              <w:bottom w:val="nil"/>
              <w:right w:val="single" w:sz="4" w:space="0" w:color="FFFFFF" w:themeColor="background1"/>
            </w:tcBorders>
            <w:shd w:val="clear" w:color="auto" w:fill="auto"/>
            <w:vAlign w:val="center"/>
            <w:hideMark/>
          </w:tcPr>
          <w:p w14:paraId="7E6D3584" w14:textId="77777777" w:rsidR="00F4317F" w:rsidRPr="00EA24DD" w:rsidRDefault="00F4317F" w:rsidP="00906EF9">
            <w:pPr>
              <w:spacing w:after="0"/>
              <w:jc w:val="center"/>
              <w:rPr>
                <w:rFonts w:cs="Arial"/>
                <w:szCs w:val="20"/>
              </w:rPr>
            </w:pPr>
            <w:r w:rsidRPr="00EA24DD">
              <w:rPr>
                <w:rFonts w:cs="Arial"/>
                <w:szCs w:val="20"/>
              </w:rPr>
              <w:t>1</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3EAAFFF1" w14:textId="77777777" w:rsidR="00F4317F" w:rsidRPr="00391C5E" w:rsidRDefault="00F4317F" w:rsidP="00906EF9">
            <w:pPr>
              <w:spacing w:after="0"/>
              <w:jc w:val="center"/>
              <w:rPr>
                <w:rFonts w:cs="Arial"/>
                <w:b/>
                <w:bCs/>
                <w:color w:val="FFFFFF"/>
                <w:szCs w:val="20"/>
              </w:rPr>
            </w:pPr>
            <w:r w:rsidRPr="00391C5E">
              <w:rPr>
                <w:rFonts w:cs="Arial"/>
                <w:b/>
                <w:bCs/>
                <w:color w:val="FFFFFF"/>
                <w:szCs w:val="20"/>
              </w:rPr>
              <w:t>1</w:t>
            </w:r>
          </w:p>
        </w:tc>
      </w:tr>
      <w:tr w:rsidR="00B02854" w:rsidRPr="00391C5E" w14:paraId="20B64D1D" w14:textId="77777777" w:rsidTr="00B02854">
        <w:trPr>
          <w:trHeight w:val="300"/>
        </w:trPr>
        <w:tc>
          <w:tcPr>
            <w:tcW w:w="1961" w:type="dxa"/>
            <w:tcBorders>
              <w:top w:val="nil"/>
              <w:left w:val="single" w:sz="4" w:space="0" w:color="auto"/>
              <w:bottom w:val="nil"/>
              <w:right w:val="single" w:sz="4" w:space="0" w:color="FFFFFF" w:themeColor="background1"/>
            </w:tcBorders>
            <w:shd w:val="clear" w:color="auto" w:fill="EFD2D1"/>
            <w:vAlign w:val="center"/>
            <w:hideMark/>
          </w:tcPr>
          <w:p w14:paraId="562A1230" w14:textId="77777777" w:rsidR="00391C5E" w:rsidRPr="00391C5E" w:rsidRDefault="00391C5E" w:rsidP="00391C5E">
            <w:pPr>
              <w:spacing w:after="0"/>
              <w:jc w:val="left"/>
              <w:rPr>
                <w:rFonts w:cs="Arial"/>
                <w:b/>
                <w:bCs/>
                <w:color w:val="000000"/>
                <w:szCs w:val="20"/>
              </w:rPr>
            </w:pPr>
            <w:r w:rsidRPr="00391C5E">
              <w:rPr>
                <w:rFonts w:cs="Arial"/>
                <w:b/>
                <w:bCs/>
                <w:color w:val="000000"/>
                <w:szCs w:val="20"/>
              </w:rPr>
              <w:t>Northern Territory</w:t>
            </w:r>
          </w:p>
        </w:tc>
        <w:tc>
          <w:tcPr>
            <w:tcW w:w="1011" w:type="dxa"/>
            <w:tcBorders>
              <w:top w:val="nil"/>
              <w:left w:val="single" w:sz="4" w:space="0" w:color="FFFFFF" w:themeColor="background1"/>
              <w:bottom w:val="nil"/>
              <w:right w:val="single" w:sz="4" w:space="0" w:color="FFFFFF" w:themeColor="background1"/>
            </w:tcBorders>
            <w:shd w:val="clear" w:color="auto" w:fill="EFD2D1"/>
            <w:vAlign w:val="center"/>
            <w:hideMark/>
          </w:tcPr>
          <w:p w14:paraId="2708AF94" w14:textId="7B889AC5" w:rsidR="00391C5E" w:rsidRPr="00EA24DD" w:rsidRDefault="00EA24DD" w:rsidP="00EA24DD">
            <w:pPr>
              <w:spacing w:after="0"/>
              <w:jc w:val="center"/>
              <w:rPr>
                <w:rFonts w:cs="Arial"/>
                <w:color w:val="000000"/>
                <w:szCs w:val="20"/>
              </w:rPr>
            </w:pPr>
            <w:r w:rsidRPr="00EA24DD">
              <w:rPr>
                <w:rFonts w:cs="Arial"/>
                <w:color w:val="000000"/>
                <w:szCs w:val="20"/>
              </w:rPr>
              <w:t>0</w:t>
            </w:r>
          </w:p>
        </w:tc>
        <w:tc>
          <w:tcPr>
            <w:tcW w:w="1012" w:type="dxa"/>
            <w:tcBorders>
              <w:top w:val="nil"/>
              <w:left w:val="single" w:sz="4" w:space="0" w:color="FFFFFF" w:themeColor="background1"/>
              <w:bottom w:val="nil"/>
              <w:right w:val="single" w:sz="4" w:space="0" w:color="FFFFFF" w:themeColor="background1"/>
            </w:tcBorders>
            <w:shd w:val="clear" w:color="auto" w:fill="EFD2D1"/>
            <w:vAlign w:val="center"/>
            <w:hideMark/>
          </w:tcPr>
          <w:p w14:paraId="13448913" w14:textId="77777777" w:rsidR="00391C5E" w:rsidRPr="00EA24DD" w:rsidRDefault="00391C5E" w:rsidP="00EA24DD">
            <w:pPr>
              <w:spacing w:after="0"/>
              <w:jc w:val="center"/>
              <w:rPr>
                <w:rFonts w:cs="Arial"/>
                <w:szCs w:val="20"/>
              </w:rPr>
            </w:pPr>
            <w:r w:rsidRPr="00EA24DD">
              <w:rPr>
                <w:rFonts w:cs="Arial"/>
                <w:szCs w:val="20"/>
              </w:rPr>
              <w:t>1</w:t>
            </w:r>
          </w:p>
        </w:tc>
        <w:tc>
          <w:tcPr>
            <w:tcW w:w="1011" w:type="dxa"/>
            <w:tcBorders>
              <w:top w:val="nil"/>
              <w:left w:val="single" w:sz="4" w:space="0" w:color="FFFFFF" w:themeColor="background1"/>
              <w:bottom w:val="nil"/>
              <w:right w:val="single" w:sz="4" w:space="0" w:color="FFFFFF" w:themeColor="background1"/>
            </w:tcBorders>
            <w:shd w:val="clear" w:color="auto" w:fill="EFD2D1"/>
            <w:vAlign w:val="center"/>
            <w:hideMark/>
          </w:tcPr>
          <w:p w14:paraId="474B5C3E" w14:textId="77777777" w:rsidR="00391C5E" w:rsidRPr="00EA24DD" w:rsidRDefault="00391C5E" w:rsidP="00EA24DD">
            <w:pPr>
              <w:spacing w:after="0"/>
              <w:jc w:val="center"/>
              <w:rPr>
                <w:rFonts w:cs="Arial"/>
                <w:szCs w:val="20"/>
              </w:rPr>
            </w:pPr>
            <w:r w:rsidRPr="00EA24DD">
              <w:rPr>
                <w:rFonts w:cs="Arial"/>
                <w:szCs w:val="20"/>
              </w:rPr>
              <w:t>1</w:t>
            </w:r>
          </w:p>
        </w:tc>
        <w:tc>
          <w:tcPr>
            <w:tcW w:w="1012" w:type="dxa"/>
            <w:tcBorders>
              <w:top w:val="nil"/>
              <w:left w:val="single" w:sz="4" w:space="0" w:color="FFFFFF" w:themeColor="background1"/>
              <w:bottom w:val="nil"/>
              <w:right w:val="single" w:sz="4" w:space="0" w:color="FFFFFF" w:themeColor="background1"/>
            </w:tcBorders>
            <w:shd w:val="clear" w:color="auto" w:fill="EFD2D1"/>
            <w:vAlign w:val="center"/>
            <w:hideMark/>
          </w:tcPr>
          <w:p w14:paraId="311E9529" w14:textId="445AD3E7" w:rsidR="00391C5E" w:rsidRPr="00EA24DD" w:rsidRDefault="00EA24DD" w:rsidP="00EA24DD">
            <w:pPr>
              <w:spacing w:after="0"/>
              <w:jc w:val="center"/>
              <w:rPr>
                <w:rFonts w:cs="Arial"/>
                <w:szCs w:val="20"/>
              </w:rPr>
            </w:pPr>
            <w:r w:rsidRPr="00EA24DD">
              <w:rPr>
                <w:rFonts w:cs="Arial"/>
                <w:szCs w:val="20"/>
              </w:rPr>
              <w:t>0</w:t>
            </w:r>
          </w:p>
        </w:tc>
        <w:tc>
          <w:tcPr>
            <w:tcW w:w="1012" w:type="dxa"/>
            <w:tcBorders>
              <w:top w:val="nil"/>
              <w:left w:val="single" w:sz="4" w:space="0" w:color="FFFFFF" w:themeColor="background1"/>
              <w:bottom w:val="nil"/>
              <w:right w:val="single" w:sz="4" w:space="0" w:color="FFFFFF" w:themeColor="background1"/>
            </w:tcBorders>
            <w:shd w:val="clear" w:color="auto" w:fill="EFD2D1"/>
            <w:vAlign w:val="center"/>
            <w:hideMark/>
          </w:tcPr>
          <w:p w14:paraId="7D4D092D" w14:textId="6B801D42" w:rsidR="00391C5E" w:rsidRPr="00EA24DD" w:rsidRDefault="00EA24DD" w:rsidP="00EA24DD">
            <w:pPr>
              <w:spacing w:after="0"/>
              <w:jc w:val="center"/>
              <w:rPr>
                <w:rFonts w:cs="Arial"/>
                <w:szCs w:val="20"/>
              </w:rPr>
            </w:pPr>
            <w:r w:rsidRPr="00EA24DD">
              <w:rPr>
                <w:rFonts w:cs="Arial"/>
                <w:szCs w:val="20"/>
              </w:rPr>
              <w:t>0</w:t>
            </w:r>
          </w:p>
        </w:tc>
        <w:tc>
          <w:tcPr>
            <w:tcW w:w="1236" w:type="dxa"/>
            <w:tcBorders>
              <w:top w:val="nil"/>
              <w:left w:val="single" w:sz="4" w:space="0" w:color="FFFFFF" w:themeColor="background1"/>
              <w:bottom w:val="nil"/>
              <w:right w:val="single" w:sz="4" w:space="0" w:color="FFFFFF" w:themeColor="background1"/>
            </w:tcBorders>
            <w:shd w:val="clear" w:color="auto" w:fill="EFD2D1"/>
            <w:vAlign w:val="center"/>
            <w:hideMark/>
          </w:tcPr>
          <w:p w14:paraId="0F6607E6" w14:textId="2CEF4CBD" w:rsidR="00391C5E" w:rsidRPr="00EA24DD" w:rsidRDefault="00EA24DD" w:rsidP="00EA24DD">
            <w:pPr>
              <w:spacing w:after="0"/>
              <w:jc w:val="center"/>
              <w:rPr>
                <w:rFonts w:cs="Arial"/>
                <w:szCs w:val="20"/>
              </w:rPr>
            </w:pPr>
            <w:r w:rsidRPr="00EA24DD">
              <w:rPr>
                <w:rFonts w:cs="Arial"/>
                <w:szCs w:val="20"/>
              </w:rPr>
              <w:t>0</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5849C278" w14:textId="69238ECF" w:rsidR="00391C5E" w:rsidRPr="00391C5E" w:rsidRDefault="00F4317F" w:rsidP="00391C5E">
            <w:pPr>
              <w:spacing w:after="0"/>
              <w:jc w:val="center"/>
              <w:rPr>
                <w:rFonts w:cs="Arial"/>
                <w:b/>
                <w:bCs/>
                <w:color w:val="FFFFFF"/>
                <w:szCs w:val="20"/>
              </w:rPr>
            </w:pPr>
            <w:r>
              <w:rPr>
                <w:rFonts w:cs="Arial"/>
                <w:b/>
                <w:bCs/>
                <w:color w:val="FFFFFF"/>
                <w:szCs w:val="20"/>
              </w:rPr>
              <w:t>&lt;1</w:t>
            </w:r>
          </w:p>
        </w:tc>
      </w:tr>
      <w:tr w:rsidR="00B02854" w:rsidRPr="00391C5E" w14:paraId="5960A159" w14:textId="77777777" w:rsidTr="00B02854">
        <w:trPr>
          <w:trHeight w:val="300"/>
        </w:trPr>
        <w:tc>
          <w:tcPr>
            <w:tcW w:w="1961" w:type="dxa"/>
            <w:tcBorders>
              <w:top w:val="nil"/>
              <w:left w:val="single" w:sz="4" w:space="0" w:color="auto"/>
              <w:bottom w:val="nil"/>
              <w:right w:val="single" w:sz="4" w:space="0" w:color="FFFFFF" w:themeColor="background1"/>
            </w:tcBorders>
            <w:shd w:val="clear" w:color="000000" w:fill="FFFFFF"/>
            <w:vAlign w:val="center"/>
            <w:hideMark/>
          </w:tcPr>
          <w:p w14:paraId="226D9CBF" w14:textId="77777777" w:rsidR="00391C5E" w:rsidRPr="00391C5E" w:rsidRDefault="00391C5E" w:rsidP="00391C5E">
            <w:pPr>
              <w:spacing w:after="0"/>
              <w:jc w:val="left"/>
              <w:rPr>
                <w:rFonts w:cs="Arial"/>
                <w:b/>
                <w:bCs/>
                <w:color w:val="000000"/>
                <w:szCs w:val="20"/>
              </w:rPr>
            </w:pPr>
            <w:r w:rsidRPr="00391C5E">
              <w:rPr>
                <w:rFonts w:cs="Arial"/>
                <w:b/>
                <w:bCs/>
                <w:color w:val="000000"/>
                <w:szCs w:val="20"/>
              </w:rPr>
              <w:t>Seacare</w:t>
            </w:r>
          </w:p>
        </w:tc>
        <w:tc>
          <w:tcPr>
            <w:tcW w:w="1011"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62231CD5" w14:textId="234D28A0" w:rsidR="00391C5E" w:rsidRPr="00EA24DD" w:rsidRDefault="00EA24DD" w:rsidP="00EA24DD">
            <w:pPr>
              <w:spacing w:after="0"/>
              <w:jc w:val="center"/>
              <w:rPr>
                <w:rFonts w:cs="Arial"/>
                <w:szCs w:val="20"/>
              </w:rPr>
            </w:pPr>
            <w:r w:rsidRPr="00EA24DD">
              <w:rPr>
                <w:rFonts w:cs="Arial"/>
                <w:szCs w:val="20"/>
              </w:rPr>
              <w:t>0</w:t>
            </w:r>
          </w:p>
        </w:tc>
        <w:tc>
          <w:tcPr>
            <w:tcW w:w="1012"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78160239" w14:textId="77777777" w:rsidR="00391C5E" w:rsidRPr="00EA24DD" w:rsidRDefault="00391C5E" w:rsidP="00EA24DD">
            <w:pPr>
              <w:spacing w:after="0"/>
              <w:jc w:val="center"/>
              <w:rPr>
                <w:rFonts w:cs="Arial"/>
                <w:szCs w:val="20"/>
              </w:rPr>
            </w:pPr>
            <w:r w:rsidRPr="00EA24DD">
              <w:rPr>
                <w:rFonts w:cs="Arial"/>
                <w:szCs w:val="20"/>
              </w:rPr>
              <w:t>1</w:t>
            </w:r>
          </w:p>
        </w:tc>
        <w:tc>
          <w:tcPr>
            <w:tcW w:w="1011"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7F6045A8" w14:textId="621C3514" w:rsidR="00391C5E" w:rsidRPr="00EA24DD" w:rsidRDefault="00EA24DD" w:rsidP="00EA24DD">
            <w:pPr>
              <w:spacing w:after="0"/>
              <w:jc w:val="center"/>
              <w:rPr>
                <w:rFonts w:cs="Arial"/>
                <w:szCs w:val="20"/>
              </w:rPr>
            </w:pPr>
            <w:r w:rsidRPr="00EA24DD">
              <w:rPr>
                <w:rFonts w:cs="Arial"/>
                <w:szCs w:val="20"/>
              </w:rPr>
              <w:t>0</w:t>
            </w:r>
          </w:p>
        </w:tc>
        <w:tc>
          <w:tcPr>
            <w:tcW w:w="1012"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2B5D2F1A" w14:textId="6F2D1E86" w:rsidR="00391C5E" w:rsidRPr="00EA24DD" w:rsidRDefault="00EA24DD" w:rsidP="00EA24DD">
            <w:pPr>
              <w:spacing w:after="0"/>
              <w:jc w:val="center"/>
              <w:rPr>
                <w:rFonts w:cs="Arial"/>
                <w:szCs w:val="20"/>
              </w:rPr>
            </w:pPr>
            <w:r w:rsidRPr="00EA24DD">
              <w:rPr>
                <w:rFonts w:cs="Arial"/>
                <w:szCs w:val="20"/>
              </w:rPr>
              <w:t>0</w:t>
            </w:r>
          </w:p>
        </w:tc>
        <w:tc>
          <w:tcPr>
            <w:tcW w:w="1012"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30E4AFAB" w14:textId="30F8E7DA" w:rsidR="00391C5E" w:rsidRPr="00EA24DD" w:rsidRDefault="00EA24DD" w:rsidP="00EA24DD">
            <w:pPr>
              <w:spacing w:after="0"/>
              <w:jc w:val="center"/>
              <w:rPr>
                <w:rFonts w:cs="Arial"/>
                <w:szCs w:val="20"/>
              </w:rPr>
            </w:pPr>
            <w:r w:rsidRPr="00EA24DD">
              <w:rPr>
                <w:rFonts w:cs="Arial"/>
                <w:szCs w:val="20"/>
              </w:rPr>
              <w:t>0</w:t>
            </w:r>
          </w:p>
        </w:tc>
        <w:tc>
          <w:tcPr>
            <w:tcW w:w="1236" w:type="dxa"/>
            <w:tcBorders>
              <w:top w:val="nil"/>
              <w:left w:val="single" w:sz="4" w:space="0" w:color="FFFFFF" w:themeColor="background1"/>
              <w:bottom w:val="nil"/>
              <w:right w:val="single" w:sz="4" w:space="0" w:color="FFFFFF" w:themeColor="background1"/>
            </w:tcBorders>
            <w:shd w:val="clear" w:color="000000" w:fill="FFFFFF"/>
            <w:vAlign w:val="center"/>
            <w:hideMark/>
          </w:tcPr>
          <w:p w14:paraId="503407F0" w14:textId="57E362B2" w:rsidR="00391C5E" w:rsidRPr="00EA24DD" w:rsidRDefault="00EA24DD" w:rsidP="00EA24DD">
            <w:pPr>
              <w:spacing w:after="0"/>
              <w:jc w:val="center"/>
              <w:rPr>
                <w:rFonts w:cs="Arial"/>
                <w:szCs w:val="20"/>
              </w:rPr>
            </w:pPr>
            <w:r w:rsidRPr="00EA24DD">
              <w:rPr>
                <w:rFonts w:cs="Arial"/>
                <w:szCs w:val="20"/>
              </w:rPr>
              <w:t>0</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8080" w:themeFill="background1" w:themeFillShade="80"/>
            <w:vAlign w:val="center"/>
            <w:hideMark/>
          </w:tcPr>
          <w:p w14:paraId="772173B3" w14:textId="58593AB6" w:rsidR="00391C5E" w:rsidRPr="00391C5E" w:rsidRDefault="00295209" w:rsidP="00391C5E">
            <w:pPr>
              <w:spacing w:after="0"/>
              <w:jc w:val="center"/>
              <w:rPr>
                <w:rFonts w:cs="Arial"/>
                <w:b/>
                <w:bCs/>
                <w:color w:val="FFFFFF"/>
                <w:szCs w:val="20"/>
              </w:rPr>
            </w:pPr>
            <w:r>
              <w:rPr>
                <w:rFonts w:cs="Arial"/>
                <w:b/>
                <w:bCs/>
                <w:color w:val="FFFFFF"/>
                <w:szCs w:val="20"/>
              </w:rPr>
              <w:t>&lt;</w:t>
            </w:r>
            <w:r w:rsidR="00391C5E" w:rsidRPr="00391C5E">
              <w:rPr>
                <w:rFonts w:cs="Arial"/>
                <w:b/>
                <w:bCs/>
                <w:color w:val="FFFFFF"/>
                <w:szCs w:val="20"/>
              </w:rPr>
              <w:t>1</w:t>
            </w:r>
          </w:p>
        </w:tc>
      </w:tr>
      <w:tr w:rsidR="00B02854" w:rsidRPr="00391C5E" w14:paraId="5B801B88" w14:textId="77777777" w:rsidTr="00B02854">
        <w:trPr>
          <w:trHeight w:val="300"/>
        </w:trPr>
        <w:tc>
          <w:tcPr>
            <w:tcW w:w="1961" w:type="dxa"/>
            <w:tcBorders>
              <w:top w:val="nil"/>
              <w:left w:val="single" w:sz="4" w:space="0" w:color="auto"/>
              <w:bottom w:val="single" w:sz="4" w:space="0" w:color="auto"/>
              <w:right w:val="single" w:sz="4" w:space="0" w:color="FFFFFF" w:themeColor="background1"/>
            </w:tcBorders>
            <w:shd w:val="clear" w:color="000000" w:fill="808080"/>
            <w:vAlign w:val="center"/>
            <w:hideMark/>
          </w:tcPr>
          <w:p w14:paraId="6B1AAEF8" w14:textId="77777777" w:rsidR="00391C5E" w:rsidRPr="00391C5E" w:rsidRDefault="00391C5E" w:rsidP="00391C5E">
            <w:pPr>
              <w:spacing w:after="0"/>
              <w:jc w:val="left"/>
              <w:rPr>
                <w:rFonts w:cs="Arial"/>
                <w:b/>
                <w:bCs/>
                <w:color w:val="FFFFFF"/>
                <w:szCs w:val="20"/>
              </w:rPr>
            </w:pPr>
            <w:r w:rsidRPr="00391C5E">
              <w:rPr>
                <w:rFonts w:cs="Arial"/>
                <w:b/>
                <w:bCs/>
                <w:color w:val="FFFFFF"/>
                <w:szCs w:val="20"/>
              </w:rPr>
              <w:t>Australian total</w:t>
            </w:r>
          </w:p>
        </w:tc>
        <w:tc>
          <w:tcPr>
            <w:tcW w:w="1011" w:type="dxa"/>
            <w:tcBorders>
              <w:top w:val="nil"/>
              <w:left w:val="single" w:sz="4" w:space="0" w:color="FFFFFF" w:themeColor="background1"/>
              <w:bottom w:val="single" w:sz="4" w:space="0" w:color="auto"/>
              <w:right w:val="single" w:sz="4" w:space="0" w:color="FFFFFF" w:themeColor="background1"/>
            </w:tcBorders>
            <w:shd w:val="clear" w:color="000000" w:fill="808080"/>
            <w:vAlign w:val="center"/>
            <w:hideMark/>
          </w:tcPr>
          <w:p w14:paraId="79B73F8D"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89</w:t>
            </w:r>
          </w:p>
        </w:tc>
        <w:tc>
          <w:tcPr>
            <w:tcW w:w="1012" w:type="dxa"/>
            <w:tcBorders>
              <w:top w:val="nil"/>
              <w:left w:val="single" w:sz="4" w:space="0" w:color="FFFFFF" w:themeColor="background1"/>
              <w:bottom w:val="single" w:sz="4" w:space="0" w:color="auto"/>
              <w:right w:val="single" w:sz="4" w:space="0" w:color="FFFFFF" w:themeColor="background1"/>
            </w:tcBorders>
            <w:shd w:val="clear" w:color="000000" w:fill="808080"/>
            <w:vAlign w:val="center"/>
            <w:hideMark/>
          </w:tcPr>
          <w:p w14:paraId="060DEDF3"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96</w:t>
            </w:r>
          </w:p>
        </w:tc>
        <w:tc>
          <w:tcPr>
            <w:tcW w:w="1011" w:type="dxa"/>
            <w:tcBorders>
              <w:top w:val="nil"/>
              <w:left w:val="single" w:sz="4" w:space="0" w:color="FFFFFF" w:themeColor="background1"/>
              <w:bottom w:val="single" w:sz="4" w:space="0" w:color="auto"/>
              <w:right w:val="single" w:sz="4" w:space="0" w:color="FFFFFF" w:themeColor="background1"/>
            </w:tcBorders>
            <w:shd w:val="clear" w:color="000000" w:fill="808080"/>
            <w:vAlign w:val="center"/>
            <w:hideMark/>
          </w:tcPr>
          <w:p w14:paraId="5F6E4224"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91</w:t>
            </w:r>
          </w:p>
        </w:tc>
        <w:tc>
          <w:tcPr>
            <w:tcW w:w="1012" w:type="dxa"/>
            <w:tcBorders>
              <w:top w:val="nil"/>
              <w:left w:val="single" w:sz="4" w:space="0" w:color="FFFFFF" w:themeColor="background1"/>
              <w:bottom w:val="single" w:sz="4" w:space="0" w:color="auto"/>
              <w:right w:val="single" w:sz="4" w:space="0" w:color="FFFFFF" w:themeColor="background1"/>
            </w:tcBorders>
            <w:shd w:val="clear" w:color="000000" w:fill="808080"/>
            <w:vAlign w:val="center"/>
            <w:hideMark/>
          </w:tcPr>
          <w:p w14:paraId="23EC4821"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84</w:t>
            </w:r>
          </w:p>
        </w:tc>
        <w:tc>
          <w:tcPr>
            <w:tcW w:w="1012" w:type="dxa"/>
            <w:tcBorders>
              <w:top w:val="nil"/>
              <w:left w:val="single" w:sz="4" w:space="0" w:color="FFFFFF" w:themeColor="background1"/>
              <w:bottom w:val="single" w:sz="4" w:space="0" w:color="auto"/>
              <w:right w:val="single" w:sz="4" w:space="0" w:color="FFFFFF" w:themeColor="background1"/>
            </w:tcBorders>
            <w:shd w:val="clear" w:color="000000" w:fill="808080"/>
            <w:vAlign w:val="center"/>
            <w:hideMark/>
          </w:tcPr>
          <w:p w14:paraId="3A97E6CA"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69</w:t>
            </w:r>
          </w:p>
        </w:tc>
        <w:tc>
          <w:tcPr>
            <w:tcW w:w="1236" w:type="dxa"/>
            <w:tcBorders>
              <w:top w:val="nil"/>
              <w:left w:val="single" w:sz="4" w:space="0" w:color="FFFFFF" w:themeColor="background1"/>
              <w:bottom w:val="single" w:sz="4" w:space="0" w:color="auto"/>
              <w:right w:val="single" w:sz="4" w:space="0" w:color="FFFFFF" w:themeColor="background1"/>
            </w:tcBorders>
            <w:shd w:val="clear" w:color="000000" w:fill="808080"/>
            <w:vAlign w:val="center"/>
            <w:hideMark/>
          </w:tcPr>
          <w:p w14:paraId="707DB430"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47</w:t>
            </w:r>
          </w:p>
        </w:tc>
        <w:tc>
          <w:tcPr>
            <w:tcW w:w="1165"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808080"/>
            <w:vAlign w:val="center"/>
            <w:hideMark/>
          </w:tcPr>
          <w:p w14:paraId="2176895B" w14:textId="77777777" w:rsidR="00391C5E" w:rsidRPr="00391C5E" w:rsidRDefault="00391C5E" w:rsidP="00391C5E">
            <w:pPr>
              <w:spacing w:after="0"/>
              <w:jc w:val="center"/>
              <w:rPr>
                <w:rFonts w:cs="Arial"/>
                <w:b/>
                <w:bCs/>
                <w:color w:val="FFFFFF"/>
                <w:szCs w:val="20"/>
              </w:rPr>
            </w:pPr>
            <w:r w:rsidRPr="00391C5E">
              <w:rPr>
                <w:rFonts w:cs="Arial"/>
                <w:b/>
                <w:bCs/>
                <w:color w:val="FFFFFF"/>
                <w:szCs w:val="20"/>
              </w:rPr>
              <w:t>86</w:t>
            </w:r>
          </w:p>
        </w:tc>
      </w:tr>
    </w:tbl>
    <w:p w14:paraId="3C18E122" w14:textId="77777777" w:rsidR="00391C5E" w:rsidRDefault="00391C5E" w:rsidP="007F5C9E">
      <w:pPr>
        <w:pStyle w:val="Footnote"/>
      </w:pPr>
    </w:p>
    <w:p w14:paraId="4BA1DED1" w14:textId="639D0BBA" w:rsidR="007F5C9E" w:rsidRPr="00206AD9" w:rsidRDefault="00295209" w:rsidP="007F5C9E">
      <w:pPr>
        <w:pStyle w:val="Footnote"/>
      </w:pPr>
      <w:r>
        <w:rPr>
          <w:vertAlign w:val="superscript"/>
        </w:rPr>
        <w:t>(a)</w:t>
      </w:r>
      <w:r w:rsidR="007F5C9E">
        <w:t xml:space="preserve"> The </w:t>
      </w:r>
      <w:r w:rsidR="00597011">
        <w:t>five</w:t>
      </w:r>
      <w:r w:rsidR="00373D17">
        <w:t>-</w:t>
      </w:r>
      <w:r w:rsidR="00597011">
        <w:t>year</w:t>
      </w:r>
      <w:r w:rsidR="00FD00F6">
        <w:t xml:space="preserve"> </w:t>
      </w:r>
      <w:r w:rsidR="00F4317F">
        <w:t xml:space="preserve">average </w:t>
      </w:r>
      <w:r w:rsidR="007F5C9E">
        <w:t>includes compensated fatalities between 201</w:t>
      </w:r>
      <w:r w:rsidR="00391C5E">
        <w:t>6</w:t>
      </w:r>
      <w:r w:rsidR="007F5C9E" w:rsidRPr="00086AB2">
        <w:t>–</w:t>
      </w:r>
      <w:r w:rsidR="007F5C9E">
        <w:t>1</w:t>
      </w:r>
      <w:r w:rsidR="00391C5E">
        <w:t>7</w:t>
      </w:r>
      <w:r w:rsidR="007F5C9E">
        <w:t xml:space="preserve"> to 20</w:t>
      </w:r>
      <w:r w:rsidR="00391C5E">
        <w:t>20</w:t>
      </w:r>
      <w:r w:rsidR="00E33C86" w:rsidRPr="00E33C86">
        <w:t>–</w:t>
      </w:r>
      <w:r w:rsidR="00F959A8">
        <w:t>2</w:t>
      </w:r>
      <w:r w:rsidR="00391C5E">
        <w:t>1</w:t>
      </w:r>
      <w:r w:rsidR="007F5C9E">
        <w:t>.</w:t>
      </w:r>
    </w:p>
    <w:p w14:paraId="1BEDD7B0" w14:textId="531C300A" w:rsidR="008659BF" w:rsidRDefault="00295209" w:rsidP="007F5C9E">
      <w:pPr>
        <w:pStyle w:val="Footnote"/>
      </w:pPr>
      <w:r>
        <w:rPr>
          <w:vertAlign w:val="superscript"/>
        </w:rPr>
        <w:t>(b)</w:t>
      </w:r>
      <w:r w:rsidR="007F5C9E" w:rsidRPr="00086AB2">
        <w:t xml:space="preserve"> The majority of compensated fatalities for occupational diseases in Queensland and the Australian Government are due to mesothelioma or asbestosis. Queensland compensates more of these fatalities through its scheme than is the case in other jurisdictions where compensation is more often sought through separate mechanisms including common law.</w:t>
      </w:r>
    </w:p>
    <w:p w14:paraId="297C079C" w14:textId="079AF7DE" w:rsidR="000D785F" w:rsidRPr="000D785F" w:rsidRDefault="000D785F" w:rsidP="007F5C9E">
      <w:pPr>
        <w:pStyle w:val="Footnote"/>
      </w:pPr>
      <w:r>
        <w:rPr>
          <w:vertAlign w:val="superscript"/>
        </w:rPr>
        <w:t>(c)</w:t>
      </w:r>
      <w:r>
        <w:t xml:space="preserve"> The Australian Capital Territory </w:t>
      </w:r>
      <w:r w:rsidRPr="000D785F">
        <w:t>includes workers’ compensation scheme data from the government sector and private sector.</w:t>
      </w:r>
    </w:p>
    <w:p w14:paraId="78657AD3" w14:textId="77777777" w:rsidR="008659BF" w:rsidRDefault="008659BF">
      <w:pPr>
        <w:spacing w:after="200" w:line="276" w:lineRule="auto"/>
        <w:jc w:val="left"/>
        <w:rPr>
          <w:rFonts w:eastAsiaTheme="minorHAnsi" w:cs="Arial"/>
          <w:color w:val="000000"/>
          <w:sz w:val="16"/>
          <w:szCs w:val="16"/>
          <w:lang w:val="en-US" w:eastAsia="en-US"/>
        </w:rPr>
      </w:pPr>
      <w:r>
        <w:br w:type="page"/>
      </w:r>
    </w:p>
    <w:p w14:paraId="53EC98C9" w14:textId="77777777" w:rsidR="00485C33" w:rsidRPr="00086AB2" w:rsidRDefault="00485C33" w:rsidP="00485C33">
      <w:pPr>
        <w:pStyle w:val="SWASectionnumberingheading"/>
      </w:pPr>
      <w:bookmarkStart w:id="42" w:name="_Toc55294233"/>
      <w:bookmarkStart w:id="43" w:name="_Toc150245673"/>
      <w:bookmarkEnd w:id="42"/>
      <w:r w:rsidRPr="00086AB2">
        <w:lastRenderedPageBreak/>
        <w:t>Claims by mechanism of incident</w:t>
      </w:r>
      <w:bookmarkEnd w:id="43"/>
      <w:r>
        <w:t xml:space="preserve"> </w:t>
      </w:r>
    </w:p>
    <w:p w14:paraId="7A500EE7" w14:textId="530BDF89" w:rsidR="00150509" w:rsidRPr="004B7FB2" w:rsidRDefault="00485C33" w:rsidP="00485C33">
      <w:pPr>
        <w:keepNext/>
        <w:keepLines/>
      </w:pPr>
      <w:r w:rsidRPr="00086AB2">
        <w:t>Claim patterns can be analysed using the Type of Occurrence Classification System (TOOCS), which contains a series of codes providing information on the cause of the incident and the type of injury or disease. Coding for the mechanism of incident is intended to identify the overall action, exposure or event that best describes the circumstances that resulted in the most serious injury or disease. More</w:t>
      </w:r>
      <w:r w:rsidR="00780CE7">
        <w:t> </w:t>
      </w:r>
      <w:r w:rsidRPr="00086AB2">
        <w:t xml:space="preserve">information on TOOCS can be found on the </w:t>
      </w:r>
      <w:hyperlink r:id="rId26" w:history="1">
        <w:r w:rsidRPr="00086AB2">
          <w:rPr>
            <w:rStyle w:val="SWALinkChar"/>
          </w:rPr>
          <w:t>Safe Work Australia</w:t>
        </w:r>
      </w:hyperlink>
      <w:r w:rsidRPr="00086AB2">
        <w:t xml:space="preserve"> website.</w:t>
      </w:r>
    </w:p>
    <w:p w14:paraId="7B9A639A" w14:textId="3DEFFC0F" w:rsidR="00485C33" w:rsidRDefault="00150509" w:rsidP="00485C33">
      <w:pPr>
        <w:keepNext/>
        <w:keepLines/>
      </w:pPr>
      <w:r w:rsidRPr="004B7FB2">
        <w:t xml:space="preserve">The Agency also provides further information on the claims by mechanism of incident </w:t>
      </w:r>
      <w:r w:rsidR="004B7FB2" w:rsidRPr="004B7FB2">
        <w:t xml:space="preserve">on the </w:t>
      </w:r>
      <w:hyperlink r:id="rId27" w:history="1">
        <w:r w:rsidR="004B7FB2" w:rsidRPr="004B7FB2">
          <w:rPr>
            <w:rStyle w:val="Hyperlink"/>
            <w:color w:val="auto"/>
          </w:rPr>
          <w:t>Workers’ compensation</w:t>
        </w:r>
      </w:hyperlink>
      <w:r w:rsidR="004B7FB2" w:rsidRPr="004B7FB2">
        <w:t xml:space="preserve"> data dashboard</w:t>
      </w:r>
      <w:r w:rsidR="00AD7DC6" w:rsidRPr="004B7FB2">
        <w:t xml:space="preserve">, published on the </w:t>
      </w:r>
      <w:hyperlink r:id="rId28" w:history="1">
        <w:r w:rsidR="00AD7DC6" w:rsidRPr="004B7FB2">
          <w:rPr>
            <w:rStyle w:val="Hyperlink"/>
            <w:color w:val="auto"/>
          </w:rPr>
          <w:t xml:space="preserve">Safe Work Australia </w:t>
        </w:r>
        <w:r w:rsidR="004B7FB2" w:rsidRPr="004B7FB2">
          <w:rPr>
            <w:rStyle w:val="Hyperlink"/>
            <w:color w:val="auto"/>
          </w:rPr>
          <w:t xml:space="preserve">data </w:t>
        </w:r>
        <w:r w:rsidR="00AD7DC6" w:rsidRPr="004B7FB2">
          <w:rPr>
            <w:rStyle w:val="Hyperlink"/>
            <w:color w:val="auto"/>
          </w:rPr>
          <w:t>website</w:t>
        </w:r>
      </w:hyperlink>
      <w:r w:rsidR="004B7FB2" w:rsidRPr="004B7FB2">
        <w:t>.</w:t>
      </w:r>
      <w:r w:rsidR="00485C33" w:rsidRPr="00086AB2">
        <w:t xml:space="preserve"> </w:t>
      </w:r>
    </w:p>
    <w:p w14:paraId="402688DD" w14:textId="3DC152F1" w:rsidR="00485C33" w:rsidRPr="00086AB2" w:rsidRDefault="00485C33" w:rsidP="0031228B">
      <w:pPr>
        <w:pStyle w:val="Heading3"/>
      </w:pPr>
      <w:bookmarkStart w:id="44" w:name="_Toc150245674"/>
      <w:r w:rsidRPr="00086AB2">
        <w:t>Proportion of serious claims by mechanism of incident</w:t>
      </w:r>
      <w:r w:rsidR="004B7FB2">
        <w:t>, Australia total (previously indicator</w:t>
      </w:r>
      <w:r w:rsidR="00222D4C">
        <w:t> </w:t>
      </w:r>
      <w:r w:rsidR="004B7FB2">
        <w:t>10)</w:t>
      </w:r>
      <w:bookmarkEnd w:id="44"/>
      <w:r>
        <w:t xml:space="preserve"> </w:t>
      </w:r>
    </w:p>
    <w:p w14:paraId="215D6A9E" w14:textId="4E2A5544" w:rsidR="00485C33" w:rsidRPr="00086AB2" w:rsidRDefault="00BE356A" w:rsidP="00F278D2">
      <w:r>
        <w:rPr>
          <w:noProof/>
        </w:rPr>
        <w:drawing>
          <wp:inline distT="0" distB="0" distL="0" distR="0" wp14:anchorId="4915E074" wp14:editId="0EFD08A4">
            <wp:extent cx="5842000" cy="4023995"/>
            <wp:effectExtent l="0" t="0" r="6350" b="0"/>
            <wp:docPr id="21598315" name="Chart 1">
              <a:extLst xmlns:a="http://schemas.openxmlformats.org/drawingml/2006/main">
                <a:ext uri="{FF2B5EF4-FFF2-40B4-BE49-F238E27FC236}">
                  <a16:creationId xmlns:a16="http://schemas.microsoft.com/office/drawing/2014/main" id="{41895422-3259-90D1-5AB7-02DF4DBF0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E7E8EB2" w14:textId="59716062" w:rsidR="00485C33" w:rsidRPr="00222D4C" w:rsidRDefault="00C37262" w:rsidP="004E6B4B">
      <w:pPr>
        <w:pStyle w:val="SWACaptionstyle"/>
        <w:rPr>
          <w:sz w:val="16"/>
          <w:szCs w:val="16"/>
        </w:rPr>
      </w:pPr>
      <w:r w:rsidRPr="007B3167">
        <w:rPr>
          <w:sz w:val="16"/>
          <w:szCs w:val="16"/>
        </w:rPr>
        <w:t xml:space="preserve">* 'Other mechanisms' includes </w:t>
      </w:r>
      <w:proofErr w:type="gramStart"/>
      <w:r w:rsidRPr="007B3167">
        <w:rPr>
          <w:sz w:val="16"/>
          <w:szCs w:val="16"/>
        </w:rPr>
        <w:t>Biological</w:t>
      </w:r>
      <w:proofErr w:type="gramEnd"/>
      <w:r w:rsidRPr="007B3167">
        <w:rPr>
          <w:sz w:val="16"/>
          <w:szCs w:val="16"/>
        </w:rPr>
        <w:t xml:space="preserve"> factors, Chemicals and other substances, Sound and pressure</w:t>
      </w:r>
      <w:r w:rsidR="007B3167" w:rsidRPr="007B3167">
        <w:rPr>
          <w:sz w:val="16"/>
          <w:szCs w:val="16"/>
        </w:rPr>
        <w:t>, and</w:t>
      </w:r>
      <w:r w:rsidRPr="007B3167">
        <w:rPr>
          <w:sz w:val="16"/>
          <w:szCs w:val="16"/>
        </w:rPr>
        <w:t xml:space="preserve"> Mechanisms not coded.</w:t>
      </w:r>
      <w:r w:rsidR="00D47879" w:rsidRPr="00222D4C">
        <w:rPr>
          <w:sz w:val="16"/>
          <w:szCs w:val="16"/>
        </w:rPr>
        <w:t xml:space="preserve"> </w:t>
      </w:r>
    </w:p>
    <w:p w14:paraId="2AE52B01" w14:textId="17A9737A" w:rsidR="00D47879" w:rsidRDefault="00D47879" w:rsidP="004E6B4B">
      <w:pPr>
        <w:pStyle w:val="SWACaptionstyle"/>
      </w:pPr>
    </w:p>
    <w:p w14:paraId="14131D8B" w14:textId="77777777" w:rsidR="004B7FB2" w:rsidRDefault="004B7FB2">
      <w:pPr>
        <w:spacing w:after="200" w:line="276" w:lineRule="auto"/>
        <w:jc w:val="left"/>
      </w:pPr>
    </w:p>
    <w:p w14:paraId="7834F89C" w14:textId="5F78E370" w:rsidR="00485C33" w:rsidRPr="00086AB2" w:rsidRDefault="00485C33" w:rsidP="004E6B4B">
      <w:pPr>
        <w:pStyle w:val="SWASectionnum2"/>
        <w:keepNext w:val="0"/>
        <w:keepLines w:val="0"/>
      </w:pPr>
      <w:bookmarkStart w:id="45" w:name="_Toc150245675"/>
      <w:r w:rsidRPr="00086AB2">
        <w:t>Claims by mechanism of incident and jurisdiction</w:t>
      </w:r>
      <w:bookmarkEnd w:id="45"/>
    </w:p>
    <w:p w14:paraId="7011AAFE" w14:textId="77777777" w:rsidR="004B7FB2" w:rsidRDefault="006B1517" w:rsidP="004E6B4B">
      <w:r>
        <w:t xml:space="preserve">This section presents </w:t>
      </w:r>
      <w:r w:rsidR="00485C33" w:rsidRPr="00086AB2">
        <w:t>a comparison of the proportion of</w:t>
      </w:r>
      <w:r w:rsidR="00485C33">
        <w:t xml:space="preserve"> serious</w:t>
      </w:r>
      <w:r w:rsidR="00485C33" w:rsidRPr="00086AB2">
        <w:t xml:space="preserve"> claims across the Australian</w:t>
      </w:r>
      <w:r w:rsidR="00780CE7">
        <w:t> </w:t>
      </w:r>
      <w:r w:rsidR="00485C33" w:rsidRPr="00086AB2">
        <w:t xml:space="preserve">jurisdictions for </w:t>
      </w:r>
      <w:r>
        <w:t xml:space="preserve">each of </w:t>
      </w:r>
      <w:r w:rsidR="00485C33" w:rsidRPr="00086AB2">
        <w:t>the different mechanism of incident</w:t>
      </w:r>
      <w:r w:rsidR="00485C33">
        <w:t xml:space="preserve"> groups</w:t>
      </w:r>
      <w:r w:rsidR="00485C33" w:rsidRPr="00086AB2">
        <w:t xml:space="preserve">. </w:t>
      </w:r>
    </w:p>
    <w:p w14:paraId="2332707C" w14:textId="11B1E101" w:rsidR="00485C33" w:rsidRDefault="00485C33" w:rsidP="004E6B4B">
      <w:r w:rsidRPr="00086AB2">
        <w:t>Due to the differences in the total number of serious claims across jurisdictions, proportions are a better measure for direct comparison between jurisdictions. The industry and occupation composition of each jurisdiction</w:t>
      </w:r>
      <w:r>
        <w:t xml:space="preserve"> </w:t>
      </w:r>
      <w:r w:rsidRPr="00086AB2">
        <w:t>can influence the proportion of claims due to different mechanisms</w:t>
      </w:r>
      <w:r>
        <w:t xml:space="preserve">. This may </w:t>
      </w:r>
      <w:r w:rsidRPr="00086AB2">
        <w:t>explain some of the differences between jurisdictions.</w:t>
      </w:r>
    </w:p>
    <w:p w14:paraId="6112099B" w14:textId="77777777" w:rsidR="00485C33" w:rsidRPr="00086AB2" w:rsidRDefault="00485C33" w:rsidP="00485C33">
      <w:pPr>
        <w:pStyle w:val="Heading1"/>
        <w:keepLines/>
      </w:pPr>
      <w:bookmarkStart w:id="46" w:name="_Toc150245676"/>
      <w:r w:rsidRPr="00086AB2">
        <w:lastRenderedPageBreak/>
        <w:t>Body stressing</w:t>
      </w:r>
      <w:bookmarkEnd w:id="46"/>
      <w:r>
        <w:t xml:space="preserve"> </w:t>
      </w:r>
    </w:p>
    <w:p w14:paraId="59A907BA" w14:textId="1F385333" w:rsidR="00485C33" w:rsidRPr="000B15CF" w:rsidRDefault="00485C33" w:rsidP="004B7FB2">
      <w:pPr>
        <w:pStyle w:val="Heading3"/>
        <w:spacing w:before="140"/>
        <w:rPr>
          <w:color w:val="00B050"/>
        </w:rPr>
      </w:pPr>
      <w:bookmarkStart w:id="47" w:name="_Toc150245677"/>
      <w:r w:rsidRPr="00086AB2">
        <w:t>Proportion of serious claims involving Body stressing by jurisdiction</w:t>
      </w:r>
      <w:r w:rsidR="004B7FB2">
        <w:t xml:space="preserve"> (previously i</w:t>
      </w:r>
      <w:r w:rsidR="004B7FB2" w:rsidRPr="00086AB2">
        <w:t>ndicator</w:t>
      </w:r>
      <w:r w:rsidR="004B7FB2">
        <w:t> </w:t>
      </w:r>
      <w:r w:rsidR="004B7FB2" w:rsidRPr="00086AB2">
        <w:t>10</w:t>
      </w:r>
      <w:r w:rsidR="004B7FB2" w:rsidRPr="00086AB2">
        <w:rPr>
          <w:noProof/>
        </w:rPr>
        <w:fldChar w:fldCharType="begin"/>
      </w:r>
      <w:r w:rsidR="004B7FB2" w:rsidRPr="00086AB2">
        <w:rPr>
          <w:noProof/>
        </w:rPr>
        <w:instrText xml:space="preserve"> SEQ Indicator_10 \* alphabetic </w:instrText>
      </w:r>
      <w:r w:rsidR="004B7FB2" w:rsidRPr="00086AB2">
        <w:rPr>
          <w:noProof/>
        </w:rPr>
        <w:fldChar w:fldCharType="separate"/>
      </w:r>
      <w:r w:rsidR="004B7FB2">
        <w:rPr>
          <w:noProof/>
        </w:rPr>
        <w:t>a</w:t>
      </w:r>
      <w:r w:rsidR="004B7FB2" w:rsidRPr="00086AB2">
        <w:rPr>
          <w:noProof/>
        </w:rPr>
        <w:fldChar w:fldCharType="end"/>
      </w:r>
      <w:r w:rsidR="004B7FB2">
        <w:t>)</w:t>
      </w:r>
      <w:bookmarkEnd w:id="47"/>
    </w:p>
    <w:p w14:paraId="449A508C" w14:textId="05583E61" w:rsidR="00485C33" w:rsidRDefault="00722547" w:rsidP="00722547">
      <w:r>
        <w:rPr>
          <w:noProof/>
        </w:rPr>
        <mc:AlternateContent>
          <mc:Choice Requires="wps">
            <w:drawing>
              <wp:anchor distT="0" distB="0" distL="114300" distR="114300" simplePos="0" relativeHeight="251698176" behindDoc="0" locked="0" layoutInCell="1" allowOverlap="1" wp14:anchorId="3774EFF2" wp14:editId="5B84FD76">
                <wp:simplePos x="0" y="0"/>
                <wp:positionH relativeFrom="column">
                  <wp:posOffset>1301778</wp:posOffset>
                </wp:positionH>
                <wp:positionV relativeFrom="paragraph">
                  <wp:posOffset>3031380</wp:posOffset>
                </wp:positionV>
                <wp:extent cx="4649638" cy="163902"/>
                <wp:effectExtent l="0" t="0" r="17780" b="26670"/>
                <wp:wrapNone/>
                <wp:docPr id="11" name="Rectangle 10">
                  <a:extLst xmlns:a="http://schemas.openxmlformats.org/drawingml/2006/main">
                    <a:ext uri="{FF2B5EF4-FFF2-40B4-BE49-F238E27FC236}">
                      <a16:creationId xmlns:a16="http://schemas.microsoft.com/office/drawing/2014/main" id="{EB2B9781-9CFA-47C4-A61B-2DD9FEFECED5}"/>
                    </a:ext>
                  </a:extLst>
                </wp:docPr>
                <wp:cNvGraphicFramePr/>
                <a:graphic xmlns:a="http://schemas.openxmlformats.org/drawingml/2006/main">
                  <a:graphicData uri="http://schemas.microsoft.com/office/word/2010/wordprocessingShape">
                    <wps:wsp>
                      <wps:cNvSpPr/>
                      <wps:spPr>
                        <a:xfrm>
                          <a:off x="0" y="0"/>
                          <a:ext cx="4649638" cy="163902"/>
                        </a:xfrm>
                        <a:prstGeom prst="rect">
                          <a:avLst/>
                        </a:prstGeom>
                        <a:solidFill>
                          <a:sysClr val="window" lastClr="FFFF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3696428F" id="Rectangle 10" o:spid="_x0000_s1026" style="position:absolute;margin-left:102.5pt;margin-top:238.7pt;width:366.1pt;height:1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NPBAIAAH4EAAAOAAAAZHJzL2Uyb0RvYy54bWysVE2P0zAQvSPxHyzfadLuUrFV0z3sqlwQ&#10;u2LhB7jOuLHkeCzbNA2/nrHzUdgiDogcXH/MezPvjd3t/bk17AQ+aLQVXy5KzsBKrLU9Vvzb1/27&#10;D5yFKGwtDFqoeA+B3+/evtl2bgMrbNDU4BmR2LDpXMWbGN2mKIJsoBVhgQ4sHSr0rYi09Mei9qIj&#10;9tYUq7JcFx362nmUEALtPg6HfJf5lQIZn5QKEJmpONUW8+jzeEhjsduKzdEL12g5liH+oYpWaEtJ&#10;Z6pHEQX77vUVVaulx4AqLiS2BSqlJWQNpGZZvlLz0ggHWQuZE9xsU/h/tPLz6cU9e7Khc2ETaJpU&#10;nJVv0y/Vx87ZrH42C86RSdq8Xd/erW+ovZLOluubu3KV3CwuaOdD/AjYsjSpuKdmZI/E6VOIQ+gU&#10;kpIFNLrea2Pyog8PxrOToL5Ru2vsODMiRNqs+D5/Y7bfYMZeM6WrBDPZ4bi8BlLRCVlcPMiz2BtI&#10;fMZ+AcV0TapXWUG+nhdOISXYuByOGlHDUPf7kr4p2VRFdigTJmZFcmfukWCKHEgm7sGvMT5BId/u&#10;GVz+rbABPCNyZrRxBrfaov8TgSFVY+YhfjJpsCa5dMC6f6ZOgY9PNCiDXcWl0Y6zBv2P13s+mgcc&#10;HqOwkiIqHnOKxEWXPPszPsj0in5d5+SXv43dTwAAAP//AwBQSwMEFAAGAAgAAAAhAE3TtJvhAAAA&#10;CwEAAA8AAABkcnMvZG93bnJldi54bWxMj81OwzAQhO9IvIO1SNyo3fQnJWRTISQQB6SKwIGjGy9J&#10;1HgdxW6avD3mBMfRjGa+yfeT7cRIg28dIywXCgRx5UzLNcLnx/PdDoQPmo3uHBPCTB72xfVVrjPj&#10;LvxOYxlqEUvYZxqhCaHPpPRVQ1b7heuJo/ftBqtDlEMtzaAvsdx2MlFqK61uOS40uqenhqpTebYI&#10;X541ldv+MM7z23I3hFd7enGItzfT4wOIQFP4C8MvfkSHIjId3ZmNFx1CojbxS0BYp+kaREzcr9IE&#10;xBFho1YJyCKX/z8UPwAAAP//AwBQSwECLQAUAAYACAAAACEAtoM4kv4AAADhAQAAEwAAAAAAAAAA&#10;AAAAAAAAAAAAW0NvbnRlbnRfVHlwZXNdLnhtbFBLAQItABQABgAIAAAAIQA4/SH/1gAAAJQBAAAL&#10;AAAAAAAAAAAAAAAAAC8BAABfcmVscy8ucmVsc1BLAQItABQABgAIAAAAIQD1ISNPBAIAAH4EAAAO&#10;AAAAAAAAAAAAAAAAAC4CAABkcnMvZTJvRG9jLnhtbFBLAQItABQABgAIAAAAIQBN07Sb4QAAAAsB&#10;AAAPAAAAAAAAAAAAAAAAAF4EAABkcnMvZG93bnJldi54bWxQSwUGAAAAAAQABADzAAAAbAUAAAAA&#10;" fillcolor="window" strokecolor="white [3212]" strokeweight="2pt"/>
            </w:pict>
          </mc:Fallback>
        </mc:AlternateContent>
      </w:r>
      <w:r w:rsidR="003A4ABD">
        <w:rPr>
          <w:noProof/>
        </w:rPr>
        <w:drawing>
          <wp:inline distT="0" distB="0" distL="0" distR="0" wp14:anchorId="255DB681" wp14:editId="618FEB07">
            <wp:extent cx="6066845" cy="3256887"/>
            <wp:effectExtent l="0" t="0" r="0" b="1270"/>
            <wp:docPr id="1030244143" name="Chart 1">
              <a:extLst xmlns:a="http://schemas.openxmlformats.org/drawingml/2006/main">
                <a:ext uri="{FF2B5EF4-FFF2-40B4-BE49-F238E27FC236}">
                  <a16:creationId xmlns:a16="http://schemas.microsoft.com/office/drawing/2014/main" id="{531FAF85-F856-443B-85E8-D298963654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CD25F6B" w14:textId="7048EAB2" w:rsidR="00701378" w:rsidRDefault="000D785F" w:rsidP="00984E07">
      <w:pPr>
        <w:spacing w:before="120"/>
        <w:rPr>
          <w:sz w:val="16"/>
          <w:szCs w:val="20"/>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637BF01E" w14:textId="77777777" w:rsidR="000D785F" w:rsidRDefault="000D785F" w:rsidP="00B02854">
      <w:pPr>
        <w:spacing w:before="120"/>
      </w:pPr>
    </w:p>
    <w:p w14:paraId="6AD3D037" w14:textId="337E654A" w:rsidR="008659BF" w:rsidRPr="00722547" w:rsidRDefault="00485C33" w:rsidP="00722547">
      <w:pPr>
        <w:pStyle w:val="Heading1"/>
        <w:spacing w:before="120"/>
        <w:rPr>
          <w:color w:val="00B050"/>
          <w:sz w:val="16"/>
          <w:szCs w:val="16"/>
        </w:rPr>
      </w:pPr>
      <w:bookmarkStart w:id="48" w:name="_Toc150245678"/>
      <w:r w:rsidRPr="00086AB2">
        <w:t xml:space="preserve">Falls, trips and slips of a </w:t>
      </w:r>
      <w:proofErr w:type="gramStart"/>
      <w:r w:rsidRPr="00086AB2">
        <w:t>person</w:t>
      </w:r>
      <w:bookmarkEnd w:id="48"/>
      <w:proofErr w:type="gramEnd"/>
      <w:r>
        <w:t xml:space="preserve"> </w:t>
      </w:r>
    </w:p>
    <w:p w14:paraId="251285E0" w14:textId="57EA107D" w:rsidR="00485C33" w:rsidRPr="000B15CF" w:rsidRDefault="00485C33" w:rsidP="00670682">
      <w:pPr>
        <w:pStyle w:val="Heading3"/>
        <w:keepNext w:val="0"/>
        <w:spacing w:before="120" w:after="120"/>
        <w:rPr>
          <w:color w:val="00B050"/>
        </w:rPr>
      </w:pPr>
      <w:bookmarkStart w:id="49" w:name="_Toc150245679"/>
      <w:r w:rsidRPr="00086AB2">
        <w:t>Proportion of serious claims involving Falls, trips and slips of a person by jurisdiction</w:t>
      </w:r>
      <w:r>
        <w:t xml:space="preserve"> </w:t>
      </w:r>
      <w:r w:rsidR="004B7FB2">
        <w:t xml:space="preserve">(previously </w:t>
      </w:r>
      <w:r w:rsidR="004B7FB2" w:rsidRPr="00086AB2">
        <w:t>Indicator 10</w:t>
      </w:r>
      <w:r w:rsidR="004B7FB2" w:rsidRPr="00086AB2">
        <w:rPr>
          <w:noProof/>
        </w:rPr>
        <w:fldChar w:fldCharType="begin"/>
      </w:r>
      <w:r w:rsidR="004B7FB2" w:rsidRPr="00086AB2">
        <w:rPr>
          <w:noProof/>
        </w:rPr>
        <w:instrText xml:space="preserve"> SEQ Indicator_10 \* alphabetic </w:instrText>
      </w:r>
      <w:r w:rsidR="004B7FB2" w:rsidRPr="00086AB2">
        <w:rPr>
          <w:noProof/>
        </w:rPr>
        <w:fldChar w:fldCharType="separate"/>
      </w:r>
      <w:r w:rsidR="004B7FB2">
        <w:rPr>
          <w:noProof/>
        </w:rPr>
        <w:t>b</w:t>
      </w:r>
      <w:r w:rsidR="004B7FB2" w:rsidRPr="00086AB2">
        <w:rPr>
          <w:noProof/>
        </w:rPr>
        <w:fldChar w:fldCharType="end"/>
      </w:r>
      <w:r w:rsidR="004B7FB2">
        <w:t>)</w:t>
      </w:r>
      <w:bookmarkEnd w:id="49"/>
    </w:p>
    <w:p w14:paraId="52A6BBC3" w14:textId="685A20C2" w:rsidR="00485C33" w:rsidRDefault="00C37262" w:rsidP="00D06D48">
      <w:pPr>
        <w:spacing w:after="0"/>
      </w:pPr>
      <w:r>
        <w:rPr>
          <w:noProof/>
        </w:rPr>
        <w:drawing>
          <wp:inline distT="0" distB="0" distL="0" distR="0" wp14:anchorId="213EF779" wp14:editId="60CB064D">
            <wp:extent cx="6031230" cy="3361266"/>
            <wp:effectExtent l="0" t="0" r="7620" b="0"/>
            <wp:docPr id="475575650" name="Chart 1">
              <a:extLst xmlns:a="http://schemas.openxmlformats.org/drawingml/2006/main">
                <a:ext uri="{FF2B5EF4-FFF2-40B4-BE49-F238E27FC236}">
                  <a16:creationId xmlns:a16="http://schemas.microsoft.com/office/drawing/2014/main" id="{BA9509AA-BFA8-429F-9214-44ED7C575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E6FB794" w14:textId="77777777" w:rsidR="000D785F" w:rsidRDefault="000D785F" w:rsidP="000D785F">
      <w:pPr>
        <w:spacing w:before="120"/>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7364CB84" w14:textId="42350386" w:rsidR="00D06D48" w:rsidRDefault="00D06D48" w:rsidP="00D06D48">
      <w:pPr>
        <w:spacing w:after="0"/>
      </w:pPr>
      <w:r>
        <w:rPr>
          <w:noProof/>
        </w:rPr>
        <mc:AlternateContent>
          <mc:Choice Requires="wps">
            <w:drawing>
              <wp:anchor distT="0" distB="0" distL="114300" distR="114300" simplePos="0" relativeHeight="251662336" behindDoc="0" locked="0" layoutInCell="1" allowOverlap="1" wp14:anchorId="3F8C5AE5" wp14:editId="74942036">
                <wp:simplePos x="0" y="0"/>
                <wp:positionH relativeFrom="column">
                  <wp:posOffset>1270000</wp:posOffset>
                </wp:positionH>
                <wp:positionV relativeFrom="paragraph">
                  <wp:posOffset>2921059</wp:posOffset>
                </wp:positionV>
                <wp:extent cx="4159250" cy="120650"/>
                <wp:effectExtent l="0" t="0" r="12700" b="12700"/>
                <wp:wrapNone/>
                <wp:docPr id="42" name="Rectangle 42"/>
                <wp:cNvGraphicFramePr/>
                <a:graphic xmlns:a="http://schemas.openxmlformats.org/drawingml/2006/main">
                  <a:graphicData uri="http://schemas.microsoft.com/office/word/2010/wordprocessingShape">
                    <wps:wsp>
                      <wps:cNvSpPr/>
                      <wps:spPr>
                        <a:xfrm>
                          <a:off x="0" y="0"/>
                          <a:ext cx="4159250" cy="120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C9660" id="Rectangle 42" o:spid="_x0000_s1026" style="position:absolute;margin-left:100pt;margin-top:230pt;width:327.5pt;height: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kUeAIAAIYFAAAOAAAAZHJzL2Uyb0RvYy54bWysVE1v2zAMvQ/YfxB0X2wHSbcGdYqgRYYB&#10;RVssHXpWZCkWIIuapMTJfv0o+SNdV+xQLAeFEslH8pnk1fWx0eQgnFdgSlpMckqE4VApsyvpj6f1&#10;py+U+MBMxTQYUdKT8PR6+fHDVWsXYgo16Eo4giDGL1pb0joEu8gyz2vRMD8BKwwqJbiGBby6XVY5&#10;1iJ6o7Npnl9kLbjKOuDCe3y97ZR0mfClFDw8SOlFILqkmFtIp0vnNp7Z8ootdo7ZWvE+DfaOLBqm&#10;DAYdoW5ZYGTv1F9QjeIOPMgw4dBkIKXiItWA1RT5q2o2NbMi1YLkeDvS5P8fLL8/bOyjQxpa6xce&#10;xVjFUbom/mN+5JjIOo1kiWMgHB9nxfxyOkdOOeqKaX6BMsJkZ2/rfPgqoCFRKKnDj5E4Yoc7HzrT&#10;wSQG86BVtVZap0tsAHGjHTkw/HTbXdGD/2GlzbscMcfomZ1LTlI4aRHxtPkuJFEVFjlNCaduPCfD&#10;OBcmFJ2qZpXocpzn+BuyHNJPhCTAiCyxuhG7BxgsO5ABu6Ont4+uIjXz6Jz/K7HOefRIkcGE0blR&#10;BtxbABqr6iN39gNJHTWRpS1Up0dHHHSj5C1fK/y8d8yHR+ZwdrAjcB+EBzykhrak0EuU1OB+vfUe&#10;7bGlUUtJi7NYUv9zz5ygRH8z2OyXxWwWhzddZvPPU7y4l5rtS43ZNzeAPVPg5rE8idE+6EGUDppn&#10;XBurGBVVzHCMXVIe3HC5Cd2OwMXDxWqVzHBgLQt3ZmN5BI+sxvZ9Oj4zZ/seDzgd9zDMLVu8avXO&#10;NnoaWO0DSJXm4MxrzzcOe2qcfjHFbfLynqzO63P5GwAA//8DAFBLAwQUAAYACAAAACEALssDPN4A&#10;AAALAQAADwAAAGRycy9kb3ducmV2LnhtbEyPQU/DMAyF70j8h8hIXNCWDtHRdk0nhMQVxODCLWu8&#10;pqJJqsTrCr8e78Ruz/bT8/fq7ewGMWFMffAKVssMBPo2mN53Cj4/XhYFiETaGz0Ejwp+MMG2ub6q&#10;dWXCyb/jtKNOcIhPlVZgicZKytRadDotw4ieb4cQnSYeYydN1CcOd4O8z7K1dLr3/MHqEZ8ttt+7&#10;o1NQ/rZvVIQxt9R/lZ1bvR7idKfU7c38tAFBONO/Gc74jA4NM+3D0ZskBgWczl1IwcP6LNhR5DmL&#10;PW8eywxkU8vLDs0fAAAA//8DAFBLAQItABQABgAIAAAAIQC2gziS/gAAAOEBAAATAAAAAAAAAAAA&#10;AAAAAAAAAABbQ29udGVudF9UeXBlc10ueG1sUEsBAi0AFAAGAAgAAAAhADj9If/WAAAAlAEAAAsA&#10;AAAAAAAAAAAAAAAALwEAAF9yZWxzLy5yZWxzUEsBAi0AFAAGAAgAAAAhAO6RWRR4AgAAhgUAAA4A&#10;AAAAAAAAAAAAAAAALgIAAGRycy9lMm9Eb2MueG1sUEsBAi0AFAAGAAgAAAAhAC7LAzzeAAAACwEA&#10;AA8AAAAAAAAAAAAAAAAA0gQAAGRycy9kb3ducmV2LnhtbFBLBQYAAAAABAAEAPMAAADdBQAAAAA=&#10;" fillcolor="white [3212]" strokecolor="white [3212]" strokeweight="2pt"/>
            </w:pict>
          </mc:Fallback>
        </mc:AlternateContent>
      </w:r>
    </w:p>
    <w:p w14:paraId="617E1C6D" w14:textId="583B4E37" w:rsidR="00485C33" w:rsidRPr="00086AB2" w:rsidRDefault="00485C33" w:rsidP="000563EE">
      <w:pPr>
        <w:pStyle w:val="Heading1"/>
        <w:spacing w:before="60" w:after="60"/>
      </w:pPr>
      <w:bookmarkStart w:id="50" w:name="_Toc150245680"/>
      <w:r w:rsidRPr="00086AB2">
        <w:lastRenderedPageBreak/>
        <w:t>Being hit by moving objects</w:t>
      </w:r>
      <w:bookmarkEnd w:id="50"/>
      <w:r>
        <w:t xml:space="preserve"> </w:t>
      </w:r>
    </w:p>
    <w:p w14:paraId="05ED067D" w14:textId="320B7492" w:rsidR="00485C33" w:rsidRPr="00086AB2" w:rsidRDefault="00485C33" w:rsidP="00260A3A">
      <w:pPr>
        <w:pStyle w:val="Heading3"/>
        <w:spacing w:before="120" w:after="120"/>
      </w:pPr>
      <w:bookmarkStart w:id="51" w:name="_Toc150245681"/>
      <w:r w:rsidRPr="00086AB2">
        <w:t>Proportion of serious claims involving Being hit by moving objects by jurisdiction</w:t>
      </w:r>
      <w:r>
        <w:t xml:space="preserve"> </w:t>
      </w:r>
      <w:r w:rsidR="00D47879">
        <w:t>(previously i</w:t>
      </w:r>
      <w:r w:rsidR="00D47879" w:rsidRPr="00086AB2">
        <w:t>ndicator 10</w:t>
      </w:r>
      <w:r w:rsidR="00D47879" w:rsidRPr="00086AB2">
        <w:rPr>
          <w:noProof/>
        </w:rPr>
        <w:fldChar w:fldCharType="begin"/>
      </w:r>
      <w:r w:rsidR="00D47879" w:rsidRPr="00086AB2">
        <w:rPr>
          <w:noProof/>
        </w:rPr>
        <w:instrText xml:space="preserve"> SEQ Indicator_10 \* alphabetic </w:instrText>
      </w:r>
      <w:r w:rsidR="00D47879" w:rsidRPr="00086AB2">
        <w:rPr>
          <w:noProof/>
        </w:rPr>
        <w:fldChar w:fldCharType="separate"/>
      </w:r>
      <w:r w:rsidR="00D47879">
        <w:rPr>
          <w:noProof/>
        </w:rPr>
        <w:t>c</w:t>
      </w:r>
      <w:r w:rsidR="00D47879" w:rsidRPr="00086AB2">
        <w:rPr>
          <w:noProof/>
        </w:rPr>
        <w:fldChar w:fldCharType="end"/>
      </w:r>
      <w:r w:rsidR="00D47879">
        <w:rPr>
          <w:noProof/>
        </w:rPr>
        <w:t>)</w:t>
      </w:r>
      <w:bookmarkEnd w:id="51"/>
    </w:p>
    <w:p w14:paraId="711E98B0" w14:textId="6FB79A99" w:rsidR="00485C33" w:rsidRDefault="00C37262" w:rsidP="00D06D48">
      <w:pPr>
        <w:spacing w:after="0"/>
        <w:rPr>
          <w:rFonts w:eastAsiaTheme="majorEastAsia"/>
        </w:rPr>
      </w:pPr>
      <w:r>
        <w:rPr>
          <w:rFonts w:eastAsiaTheme="majorEastAsia"/>
          <w:noProof/>
        </w:rPr>
        <mc:AlternateContent>
          <mc:Choice Requires="wps">
            <w:drawing>
              <wp:anchor distT="0" distB="0" distL="114300" distR="114300" simplePos="0" relativeHeight="251663360" behindDoc="0" locked="0" layoutInCell="1" allowOverlap="1" wp14:anchorId="334414A5" wp14:editId="6746DE7E">
                <wp:simplePos x="0" y="0"/>
                <wp:positionH relativeFrom="column">
                  <wp:posOffset>1302597</wp:posOffset>
                </wp:positionH>
                <wp:positionV relativeFrom="paragraph">
                  <wp:posOffset>3195532</wp:posOffset>
                </wp:positionV>
                <wp:extent cx="4183812" cy="120770"/>
                <wp:effectExtent l="0" t="0" r="26670" b="12700"/>
                <wp:wrapNone/>
                <wp:docPr id="45" name="Rectangle 45"/>
                <wp:cNvGraphicFramePr/>
                <a:graphic xmlns:a="http://schemas.openxmlformats.org/drawingml/2006/main">
                  <a:graphicData uri="http://schemas.microsoft.com/office/word/2010/wordprocessingShape">
                    <wps:wsp>
                      <wps:cNvSpPr/>
                      <wps:spPr>
                        <a:xfrm>
                          <a:off x="0" y="0"/>
                          <a:ext cx="4183812" cy="1207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70458" id="Rectangle 45" o:spid="_x0000_s1026" style="position:absolute;margin-left:102.55pt;margin-top:251.6pt;width:329.4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eYfAIAAIYFAAAOAAAAZHJzL2Uyb0RvYy54bWysVE1v2zAMvQ/YfxB0X21n6doFdYqgRYcB&#10;RVesHXpWZCk2IIsapcTJfv0o+SNdV+xQLAeFMslH8onkxeW+NWyn0DdgS16c5JwpK6Fq7KbkPx5v&#10;Ppxz5oOwlTBgVckPyvPL5ft3F51bqBnUYCqFjECsX3Su5HUIbpFlXtaqFf4EnLKk1ICtCHTFTVah&#10;6Ai9Ndkszz9lHWDlEKTynr5e90q+TPhaKxm+ae1VYKbklFtIJ6ZzHc9seSEWGxSubuSQhnhDFq1o&#10;LAWdoK5FEGyLzV9QbSMRPOhwIqHNQOtGqlQDVVPkL6p5qIVTqRYix7uJJv//YOXd7sHdI9HQOb/w&#10;JMYq9hrb+E/5sX0i6zCRpfaBSfo4L84/nhczziTpill+dpbYzI7eDn34oqBlUSg50mMkjsTu1geK&#10;SKajSQzmwTTVTWNMusQGUFcG2U7Q0603RXwq8vjDytg3ORJM9MyOJScpHIyKeMZ+V5o1FRU5Swmn&#10;bjwmI6RUNhS9qhaV6nM8zek3Zjmmn3JOgBFZU3UT9gAwWvYgI3Zf7GAfXVVq5sk5/1divfPkkSKD&#10;DZNz21jA1wAMVTVE7u1HknpqIktrqA73yBD6UfJO3jT0vLfCh3uBNDs0ZbQPwjc6tIGu5DBInNWA&#10;v177Hu2ppUnLWUezWHL/cytQcWa+Wmr2z8V8Hoc3XeanZzO64HPN+rnGbtsroJ4paPM4mcRoH8wo&#10;aoT2idbGKkYllbCSYpdcBhwvV6HfEbR4pFqtkhkNrBPh1j44GcEjq7F9H/dPAt3Q44Gm4w7GuRWL&#10;F63e20ZPC6ttAN2kOTjyOvBNw54aZ1hMcZs8vyer4/pc/gYAAP//AwBQSwMEFAAGAAgAAAAhALV3&#10;N+vfAAAACwEAAA8AAABkcnMvZG93bnJldi54bWxMj8FOwzAMhu9IvENkJC6IJQ106krTCSFxBTG4&#10;cMsar6lokirJusLTY07saPvT7+9vtosb2YwxDcErKFYCGPoumMH3Cj7en28rYClrb/QYPCr4xgTb&#10;9vKi0bUJJ/+G8y73jEJ8qrUCm/NUc546i06nVZjQ0+0QotOZxthzE/WJwt3IpRBr7vTg6YPVEz5Z&#10;7L52R6dg89O95ipMpc3D56Z3xcshzjdKXV8tjw/AMi75H4Y/fVKHlpz24ehNYqMCKcqCUAWluJPA&#10;iKjW99RuTxspJfC24ecd2l8AAAD//wMAUEsBAi0AFAAGAAgAAAAhALaDOJL+AAAA4QEAABMAAAAA&#10;AAAAAAAAAAAAAAAAAFtDb250ZW50X1R5cGVzXS54bWxQSwECLQAUAAYACAAAACEAOP0h/9YAAACU&#10;AQAACwAAAAAAAAAAAAAAAAAvAQAAX3JlbHMvLnJlbHNQSwECLQAUAAYACAAAACEAGwE3mHwCAACG&#10;BQAADgAAAAAAAAAAAAAAAAAuAgAAZHJzL2Uyb0RvYy54bWxQSwECLQAUAAYACAAAACEAtXc3698A&#10;AAALAQAADwAAAAAAAAAAAAAAAADWBAAAZHJzL2Rvd25yZXYueG1sUEsFBgAAAAAEAAQA8wAAAOIF&#10;AAAAAA==&#10;" fillcolor="white [3212]" strokecolor="white [3212]" strokeweight="2pt"/>
            </w:pict>
          </mc:Fallback>
        </mc:AlternateContent>
      </w:r>
      <w:r>
        <w:rPr>
          <w:noProof/>
        </w:rPr>
        <w:drawing>
          <wp:inline distT="0" distB="0" distL="0" distR="0" wp14:anchorId="337E024E" wp14:editId="67BD9F72">
            <wp:extent cx="6074410" cy="3348567"/>
            <wp:effectExtent l="0" t="0" r="2540" b="4445"/>
            <wp:docPr id="925528464" name="Chart 1">
              <a:extLst xmlns:a="http://schemas.openxmlformats.org/drawingml/2006/main">
                <a:ext uri="{FF2B5EF4-FFF2-40B4-BE49-F238E27FC236}">
                  <a16:creationId xmlns:a16="http://schemas.microsoft.com/office/drawing/2014/main" id="{F2C3EAB5-6412-4DCD-A981-AFC8CE87BD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BF8DC0A" w14:textId="7A328433" w:rsidR="000D785F" w:rsidRDefault="000D785F" w:rsidP="00984E07">
      <w:pPr>
        <w:spacing w:before="120"/>
        <w:rPr>
          <w:sz w:val="16"/>
          <w:szCs w:val="20"/>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3DD48961" w14:textId="706A51A0" w:rsidR="00485C33" w:rsidRPr="00086AB2" w:rsidRDefault="00485C33" w:rsidP="00670682">
      <w:pPr>
        <w:pStyle w:val="Heading1"/>
        <w:keepNext w:val="0"/>
        <w:spacing w:before="0" w:after="60"/>
      </w:pPr>
      <w:bookmarkStart w:id="52" w:name="_Toc150245682"/>
      <w:r w:rsidRPr="00086AB2">
        <w:t>Hitting objects with a part of the body</w:t>
      </w:r>
      <w:bookmarkEnd w:id="52"/>
      <w:r>
        <w:t xml:space="preserve"> </w:t>
      </w:r>
    </w:p>
    <w:p w14:paraId="076DE4CE" w14:textId="12F60ABF" w:rsidR="00485C33" w:rsidRDefault="00485C33" w:rsidP="00210458">
      <w:pPr>
        <w:pStyle w:val="Heading3"/>
        <w:spacing w:before="0" w:after="0"/>
        <w:rPr>
          <w:noProof/>
        </w:rPr>
      </w:pPr>
      <w:bookmarkStart w:id="53" w:name="_Toc150245683"/>
      <w:r w:rsidRPr="00086AB2">
        <w:t>Proportion of serious claims involving Hitting objects with a part of the body by jurisdiction</w:t>
      </w:r>
      <w:r>
        <w:t xml:space="preserve"> </w:t>
      </w:r>
      <w:r w:rsidR="00D47879">
        <w:t>(previously i</w:t>
      </w:r>
      <w:r w:rsidR="00D47879" w:rsidRPr="00086AB2">
        <w:t>ndicator 10</w:t>
      </w:r>
      <w:r w:rsidR="00D47879" w:rsidRPr="00086AB2">
        <w:rPr>
          <w:noProof/>
        </w:rPr>
        <w:fldChar w:fldCharType="begin"/>
      </w:r>
      <w:r w:rsidR="00D47879" w:rsidRPr="00086AB2">
        <w:rPr>
          <w:noProof/>
        </w:rPr>
        <w:instrText xml:space="preserve"> SEQ Indicator_10 \* alphabetic </w:instrText>
      </w:r>
      <w:r w:rsidR="00D47879" w:rsidRPr="00086AB2">
        <w:rPr>
          <w:noProof/>
        </w:rPr>
        <w:fldChar w:fldCharType="separate"/>
      </w:r>
      <w:r w:rsidR="00D47879">
        <w:rPr>
          <w:noProof/>
        </w:rPr>
        <w:t>d</w:t>
      </w:r>
      <w:r w:rsidR="00D47879" w:rsidRPr="00086AB2">
        <w:rPr>
          <w:noProof/>
        </w:rPr>
        <w:fldChar w:fldCharType="end"/>
      </w:r>
      <w:r w:rsidR="00D47879">
        <w:rPr>
          <w:noProof/>
        </w:rPr>
        <w:t>)</w:t>
      </w:r>
      <w:bookmarkEnd w:id="53"/>
    </w:p>
    <w:p w14:paraId="083A9895" w14:textId="44ADE0D7" w:rsidR="00C37262" w:rsidRPr="00C37262" w:rsidRDefault="00371E9E" w:rsidP="00C37262">
      <w:pPr>
        <w:rPr>
          <w:lang w:eastAsia="en-US"/>
        </w:rPr>
      </w:pPr>
      <w:r>
        <w:rPr>
          <w:noProof/>
        </w:rPr>
        <w:drawing>
          <wp:inline distT="0" distB="0" distL="0" distR="0" wp14:anchorId="3E13AF2B" wp14:editId="0E84A195">
            <wp:extent cx="6082748" cy="3156668"/>
            <wp:effectExtent l="0" t="0" r="0" b="5715"/>
            <wp:docPr id="1965978322" name="Chart 1">
              <a:extLst xmlns:a="http://schemas.openxmlformats.org/drawingml/2006/main">
                <a:ext uri="{FF2B5EF4-FFF2-40B4-BE49-F238E27FC236}">
                  <a16:creationId xmlns:a16="http://schemas.microsoft.com/office/drawing/2014/main" id="{059DA4F8-E11D-45FF-A94C-BBDD539F57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5651D33" w14:textId="7001AC75" w:rsidR="000D785F" w:rsidRDefault="000D785F" w:rsidP="00BF763F">
      <w:pPr>
        <w:spacing w:after="0"/>
        <w:rPr>
          <w:sz w:val="16"/>
          <w:szCs w:val="20"/>
        </w:rPr>
      </w:pPr>
      <w:r>
        <w:rPr>
          <w:sz w:val="16"/>
          <w:szCs w:val="20"/>
        </w:rPr>
        <w:t>Seacare - s</w:t>
      </w:r>
      <w:r w:rsidR="00B31063" w:rsidRPr="00B31063">
        <w:rPr>
          <w:sz w:val="16"/>
          <w:szCs w:val="20"/>
        </w:rPr>
        <w:t>ome values have been suppressed as the annual workers' compensation claim counts are too low to be reported (less than 5)</w:t>
      </w:r>
    </w:p>
    <w:p w14:paraId="7009980A" w14:textId="28455390" w:rsidR="008659BF" w:rsidRDefault="000D785F" w:rsidP="00B02854">
      <w:pPr>
        <w:spacing w:before="120"/>
        <w:rPr>
          <w:rFonts w:ascii="Arial Bold" w:eastAsiaTheme="majorEastAsia" w:hAnsi="Arial Bold" w:cs="Arial"/>
          <w:b/>
          <w:kern w:val="32"/>
          <w:sz w:val="28"/>
          <w:szCs w:val="22"/>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r w:rsidR="008659BF">
        <w:br w:type="page"/>
      </w:r>
    </w:p>
    <w:p w14:paraId="5A25D038" w14:textId="383BCAD6" w:rsidR="002C537A" w:rsidRPr="00086AB2" w:rsidRDefault="002C537A" w:rsidP="002C537A">
      <w:pPr>
        <w:pStyle w:val="Heading1"/>
        <w:spacing w:before="60" w:after="60"/>
      </w:pPr>
      <w:bookmarkStart w:id="54" w:name="_Toc150245684"/>
      <w:r w:rsidRPr="00086AB2">
        <w:lastRenderedPageBreak/>
        <w:t>Mental stress</w:t>
      </w:r>
      <w:bookmarkEnd w:id="54"/>
      <w:r>
        <w:t xml:space="preserve"> </w:t>
      </w:r>
    </w:p>
    <w:p w14:paraId="65EB1B10" w14:textId="4C8708FE" w:rsidR="00485C33" w:rsidRPr="00086AB2" w:rsidRDefault="00485C33" w:rsidP="00210458">
      <w:pPr>
        <w:pStyle w:val="Heading3"/>
        <w:keepNext w:val="0"/>
        <w:spacing w:before="0" w:after="0"/>
      </w:pPr>
      <w:bookmarkStart w:id="55" w:name="_Toc150245685"/>
      <w:r w:rsidRPr="00086AB2">
        <w:t>Proportion of serious claims involving Mental stress by jurisdiction</w:t>
      </w:r>
      <w:r w:rsidR="00FF05E7">
        <w:t xml:space="preserve"> (previously i</w:t>
      </w:r>
      <w:r w:rsidR="00FF05E7" w:rsidRPr="00086AB2">
        <w:t>ndicator 10</w:t>
      </w:r>
      <w:r w:rsidR="00FF05E7" w:rsidRPr="00086AB2">
        <w:rPr>
          <w:noProof/>
        </w:rPr>
        <w:fldChar w:fldCharType="begin"/>
      </w:r>
      <w:r w:rsidR="00FF05E7" w:rsidRPr="00086AB2">
        <w:rPr>
          <w:noProof/>
        </w:rPr>
        <w:instrText xml:space="preserve"> SEQ Indicator_10 \* alphabetic </w:instrText>
      </w:r>
      <w:r w:rsidR="00FF05E7" w:rsidRPr="00086AB2">
        <w:rPr>
          <w:noProof/>
        </w:rPr>
        <w:fldChar w:fldCharType="separate"/>
      </w:r>
      <w:r w:rsidR="00FF05E7">
        <w:rPr>
          <w:noProof/>
        </w:rPr>
        <w:t>e</w:t>
      </w:r>
      <w:r w:rsidR="00FF05E7" w:rsidRPr="00086AB2">
        <w:rPr>
          <w:noProof/>
        </w:rPr>
        <w:fldChar w:fldCharType="end"/>
      </w:r>
      <w:r w:rsidR="00FF05E7">
        <w:t>)</w:t>
      </w:r>
      <w:bookmarkEnd w:id="55"/>
    </w:p>
    <w:p w14:paraId="76D3EE61" w14:textId="28FE990C" w:rsidR="002C537A" w:rsidRDefault="00371E9E" w:rsidP="00EB55F7">
      <w:pPr>
        <w:spacing w:after="0"/>
      </w:pPr>
      <w:r>
        <w:rPr>
          <w:noProof/>
        </w:rPr>
        <w:drawing>
          <wp:inline distT="0" distB="0" distL="0" distR="0" wp14:anchorId="58AB0CE2" wp14:editId="5176E205">
            <wp:extent cx="6074797" cy="3176270"/>
            <wp:effectExtent l="0" t="0" r="2540" b="5080"/>
            <wp:docPr id="670468338" name="Chart 1">
              <a:extLst xmlns:a="http://schemas.openxmlformats.org/drawingml/2006/main">
                <a:ext uri="{FF2B5EF4-FFF2-40B4-BE49-F238E27FC236}">
                  <a16:creationId xmlns:a16="http://schemas.microsoft.com/office/drawing/2014/main" id="{5B96F7DA-FC48-47B6-8450-1A498B4BA4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C313660" w14:textId="4DF772DE" w:rsidR="00EA6C93" w:rsidRDefault="000D785F" w:rsidP="00EB55F7">
      <w:pPr>
        <w:spacing w:after="0"/>
        <w:rPr>
          <w:sz w:val="16"/>
          <w:szCs w:val="20"/>
        </w:rPr>
      </w:pPr>
      <w:r>
        <w:rPr>
          <w:sz w:val="16"/>
          <w:szCs w:val="20"/>
        </w:rPr>
        <w:t>Seacare - s</w:t>
      </w:r>
      <w:r w:rsidR="003E3B17" w:rsidRPr="00B31063">
        <w:rPr>
          <w:sz w:val="16"/>
          <w:szCs w:val="20"/>
        </w:rPr>
        <w:t>ome values for Seacare have been suppressed as the annual workers' compensation claim counts are too low to be reported (less than 5)</w:t>
      </w:r>
    </w:p>
    <w:p w14:paraId="2B4E8579" w14:textId="5E749167" w:rsidR="00EA6C93" w:rsidRDefault="000D785F">
      <w:pPr>
        <w:spacing w:after="200" w:line="276" w:lineRule="auto"/>
        <w:jc w:val="left"/>
        <w:rPr>
          <w:sz w:val="16"/>
          <w:szCs w:val="20"/>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r w:rsidR="00EA6C93">
        <w:rPr>
          <w:sz w:val="16"/>
          <w:szCs w:val="20"/>
        </w:rPr>
        <w:br w:type="page"/>
      </w:r>
    </w:p>
    <w:p w14:paraId="7317B13D" w14:textId="66604370" w:rsidR="00485C33" w:rsidRPr="00C37262" w:rsidRDefault="00485C33" w:rsidP="002C537A">
      <w:pPr>
        <w:pStyle w:val="Heading1"/>
        <w:spacing w:before="60" w:after="60"/>
      </w:pPr>
      <w:bookmarkStart w:id="56" w:name="_Toc150245686"/>
      <w:r w:rsidRPr="00C37262">
        <w:lastRenderedPageBreak/>
        <w:t>Other mechanisms</w:t>
      </w:r>
      <w:bookmarkEnd w:id="56"/>
      <w:r w:rsidRPr="00C37262">
        <w:t xml:space="preserve"> </w:t>
      </w:r>
    </w:p>
    <w:p w14:paraId="25058054" w14:textId="0E902BEA" w:rsidR="00B31063" w:rsidRPr="003E3B17" w:rsidRDefault="00B31063" w:rsidP="00B31063">
      <w:pPr>
        <w:keepNext/>
        <w:keepLines/>
        <w:rPr>
          <w:szCs w:val="20"/>
        </w:rPr>
      </w:pPr>
      <w:r w:rsidRPr="003E3B17">
        <w:rPr>
          <w:szCs w:val="20"/>
        </w:rPr>
        <w:t xml:space="preserve">‘Other mechanisms’ </w:t>
      </w:r>
      <w:r w:rsidR="00222D4C" w:rsidRPr="003E3B17">
        <w:rPr>
          <w:szCs w:val="20"/>
        </w:rPr>
        <w:t xml:space="preserve">include </w:t>
      </w:r>
      <w:proofErr w:type="gramStart"/>
      <w:r w:rsidR="00C37262" w:rsidRPr="003E3B17">
        <w:rPr>
          <w:szCs w:val="20"/>
        </w:rPr>
        <w:t>Biological</w:t>
      </w:r>
      <w:proofErr w:type="gramEnd"/>
      <w:r w:rsidR="00C37262" w:rsidRPr="003E3B17">
        <w:rPr>
          <w:szCs w:val="20"/>
        </w:rPr>
        <w:t xml:space="preserve"> factors, Chemicals and other substances, Sound and pressure</w:t>
      </w:r>
      <w:r w:rsidR="002124DB" w:rsidRPr="003E3B17">
        <w:rPr>
          <w:szCs w:val="20"/>
        </w:rPr>
        <w:t>, and</w:t>
      </w:r>
      <w:r w:rsidR="00C37262" w:rsidRPr="003E3B17">
        <w:rPr>
          <w:szCs w:val="20"/>
        </w:rPr>
        <w:t xml:space="preserve"> Mechanisms not coded. </w:t>
      </w:r>
      <w:r w:rsidRPr="003E3B17">
        <w:rPr>
          <w:szCs w:val="20"/>
        </w:rPr>
        <w:t xml:space="preserve">More information on the categories can be found in the TOOCS on the </w:t>
      </w:r>
      <w:hyperlink r:id="rId35" w:history="1">
        <w:r w:rsidRPr="003E3B17">
          <w:rPr>
            <w:rStyle w:val="SWALinkChar"/>
            <w:szCs w:val="20"/>
          </w:rPr>
          <w:t>Safe Work Australia</w:t>
        </w:r>
      </w:hyperlink>
      <w:r w:rsidRPr="003E3B17">
        <w:rPr>
          <w:szCs w:val="20"/>
        </w:rPr>
        <w:t xml:space="preserve"> website.</w:t>
      </w:r>
    </w:p>
    <w:p w14:paraId="3D53A47C" w14:textId="69EFD517" w:rsidR="00485C33" w:rsidRPr="00086AB2" w:rsidRDefault="00485C33" w:rsidP="009456F4">
      <w:pPr>
        <w:pStyle w:val="Heading3"/>
        <w:spacing w:before="0" w:after="0"/>
      </w:pPr>
      <w:bookmarkStart w:id="57" w:name="_Toc150245687"/>
      <w:r w:rsidRPr="00086AB2">
        <w:t xml:space="preserve">Proportion of serious claims involving </w:t>
      </w:r>
      <w:proofErr w:type="gramStart"/>
      <w:r w:rsidRPr="00086AB2">
        <w:t>Other</w:t>
      </w:r>
      <w:proofErr w:type="gramEnd"/>
      <w:r w:rsidRPr="00086AB2">
        <w:t xml:space="preserve"> mechanisms by jurisdiction</w:t>
      </w:r>
      <w:r>
        <w:t xml:space="preserve"> </w:t>
      </w:r>
      <w:r w:rsidR="00FF05E7">
        <w:t>(previously i</w:t>
      </w:r>
      <w:r w:rsidR="00FF05E7" w:rsidRPr="00086AB2">
        <w:t>ndicator</w:t>
      </w:r>
      <w:r w:rsidR="00FF05E7">
        <w:t> </w:t>
      </w:r>
      <w:r w:rsidR="00FF05E7" w:rsidRPr="00086AB2">
        <w:t>10</w:t>
      </w:r>
      <w:r w:rsidR="00FF05E7" w:rsidRPr="00086AB2">
        <w:rPr>
          <w:noProof/>
        </w:rPr>
        <w:fldChar w:fldCharType="begin"/>
      </w:r>
      <w:r w:rsidR="00FF05E7" w:rsidRPr="00086AB2">
        <w:rPr>
          <w:noProof/>
        </w:rPr>
        <w:instrText xml:space="preserve"> SEQ Indicator_10 \* alphabetic </w:instrText>
      </w:r>
      <w:r w:rsidR="00FF05E7" w:rsidRPr="00086AB2">
        <w:rPr>
          <w:noProof/>
        </w:rPr>
        <w:fldChar w:fldCharType="separate"/>
      </w:r>
      <w:r w:rsidR="00FF05E7">
        <w:rPr>
          <w:noProof/>
        </w:rPr>
        <w:t>f</w:t>
      </w:r>
      <w:r w:rsidR="00FF05E7" w:rsidRPr="00086AB2">
        <w:rPr>
          <w:noProof/>
        </w:rPr>
        <w:fldChar w:fldCharType="end"/>
      </w:r>
      <w:r w:rsidR="00FF05E7">
        <w:rPr>
          <w:noProof/>
        </w:rPr>
        <w:t>)</w:t>
      </w:r>
      <w:bookmarkEnd w:id="57"/>
    </w:p>
    <w:p w14:paraId="07F61961" w14:textId="335CDCAE" w:rsidR="00FF05E7" w:rsidRDefault="00222D4C" w:rsidP="00485C33">
      <w:pPr>
        <w:spacing w:after="0"/>
        <w:jc w:val="center"/>
      </w:pPr>
      <w:r>
        <w:rPr>
          <w:noProof/>
        </w:rPr>
        <w:drawing>
          <wp:inline distT="0" distB="0" distL="0" distR="0" wp14:anchorId="0C8ADE26" wp14:editId="3D7C99A4">
            <wp:extent cx="6070600" cy="2996565"/>
            <wp:effectExtent l="0" t="0" r="6350" b="0"/>
            <wp:docPr id="1436927908" name="Chart 1">
              <a:extLst xmlns:a="http://schemas.openxmlformats.org/drawingml/2006/main">
                <a:ext uri="{FF2B5EF4-FFF2-40B4-BE49-F238E27FC236}">
                  <a16:creationId xmlns:a16="http://schemas.microsoft.com/office/drawing/2014/main" id="{623B3B2E-DC23-491F-867F-05423C0B5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D1EB4EA" w14:textId="512DE67C" w:rsidR="00EA6C93" w:rsidRDefault="00FF05E7" w:rsidP="003E3B17">
      <w:pPr>
        <w:spacing w:after="0" w:line="276" w:lineRule="auto"/>
        <w:jc w:val="left"/>
        <w:rPr>
          <w:rStyle w:val="ui-provider"/>
          <w:rFonts w:eastAsiaTheme="majorEastAsia"/>
          <w:sz w:val="16"/>
          <w:szCs w:val="20"/>
        </w:rPr>
      </w:pPr>
      <w:r w:rsidRPr="00FF05E7">
        <w:rPr>
          <w:rStyle w:val="ui-provider"/>
          <w:rFonts w:eastAsiaTheme="majorEastAsia"/>
          <w:sz w:val="16"/>
          <w:szCs w:val="20"/>
        </w:rPr>
        <w:t xml:space="preserve">The ‘Other mechanisms’ should be interpreted with caution.  In 2021-22p there was a significant spike in COVID-19 serious claims as compared to the previous year (up by more than 9,100 claims). </w:t>
      </w:r>
      <w:r>
        <w:rPr>
          <w:rStyle w:val="ui-provider"/>
          <w:rFonts w:eastAsiaTheme="majorEastAsia"/>
          <w:sz w:val="16"/>
          <w:szCs w:val="20"/>
        </w:rPr>
        <w:t>S</w:t>
      </w:r>
      <w:r w:rsidRPr="00FF05E7">
        <w:rPr>
          <w:rStyle w:val="ui-provider"/>
          <w:rFonts w:eastAsiaTheme="majorEastAsia"/>
          <w:sz w:val="16"/>
          <w:szCs w:val="20"/>
        </w:rPr>
        <w:t>ome jurisdictions established presumptive rights for employees of prescribed occupations who contracted COVID-19. The occupations covered by these arrangements differed across jurisdictions</w:t>
      </w:r>
      <w:r>
        <w:rPr>
          <w:rStyle w:val="ui-provider"/>
          <w:rFonts w:eastAsiaTheme="majorEastAsia"/>
          <w:sz w:val="16"/>
          <w:szCs w:val="20"/>
        </w:rPr>
        <w:t xml:space="preserve">. </w:t>
      </w:r>
      <w:r w:rsidRPr="00FF05E7">
        <w:rPr>
          <w:rStyle w:val="ui-provider"/>
          <w:rFonts w:eastAsiaTheme="majorEastAsia"/>
          <w:sz w:val="16"/>
          <w:szCs w:val="20"/>
        </w:rPr>
        <w:t xml:space="preserve">More information about </w:t>
      </w:r>
      <w:r>
        <w:rPr>
          <w:rStyle w:val="ui-provider"/>
          <w:rFonts w:eastAsiaTheme="majorEastAsia"/>
          <w:sz w:val="16"/>
          <w:szCs w:val="20"/>
        </w:rPr>
        <w:t xml:space="preserve">the </w:t>
      </w:r>
      <w:r w:rsidRPr="00FF05E7">
        <w:rPr>
          <w:rStyle w:val="ui-provider"/>
          <w:rFonts w:eastAsiaTheme="majorEastAsia"/>
          <w:sz w:val="16"/>
          <w:szCs w:val="20"/>
        </w:rPr>
        <w:t xml:space="preserve">claims </w:t>
      </w:r>
      <w:r>
        <w:rPr>
          <w:rStyle w:val="ui-provider"/>
          <w:rFonts w:eastAsiaTheme="majorEastAsia"/>
          <w:sz w:val="16"/>
          <w:szCs w:val="20"/>
        </w:rPr>
        <w:t xml:space="preserve">for COVID-19 are </w:t>
      </w:r>
      <w:r w:rsidRPr="00FF05E7">
        <w:rPr>
          <w:rStyle w:val="ui-provider"/>
          <w:rFonts w:eastAsiaTheme="majorEastAsia"/>
          <w:sz w:val="16"/>
          <w:szCs w:val="20"/>
        </w:rPr>
        <w:t xml:space="preserve">available in the </w:t>
      </w:r>
      <w:hyperlink r:id="rId37" w:tgtFrame="_blank" w:tooltip="https://data.safeworkaustralia.gov.au/insights/key-whs-stats-2023" w:history="1">
        <w:r w:rsidRPr="00FF05E7">
          <w:rPr>
            <w:rStyle w:val="Hyperlink"/>
            <w:rFonts w:eastAsiaTheme="majorEastAsia"/>
            <w:color w:val="auto"/>
            <w:sz w:val="16"/>
            <w:szCs w:val="20"/>
          </w:rPr>
          <w:t>Key Work Health and Safety Statistics Australia, 2023.</w:t>
        </w:r>
      </w:hyperlink>
      <w:r w:rsidRPr="00FF05E7">
        <w:rPr>
          <w:rStyle w:val="ui-provider"/>
          <w:rFonts w:eastAsiaTheme="majorEastAsia"/>
          <w:sz w:val="16"/>
          <w:szCs w:val="20"/>
        </w:rPr>
        <w:t xml:space="preserve"> </w:t>
      </w:r>
    </w:p>
    <w:p w14:paraId="430759F6" w14:textId="77777777" w:rsidR="00EA6C93" w:rsidRDefault="00EA6C93" w:rsidP="003E3B17">
      <w:pPr>
        <w:spacing w:after="0" w:line="276" w:lineRule="auto"/>
        <w:jc w:val="left"/>
        <w:rPr>
          <w:rStyle w:val="ui-provider"/>
          <w:rFonts w:eastAsiaTheme="majorEastAsia"/>
          <w:sz w:val="16"/>
          <w:szCs w:val="20"/>
        </w:rPr>
      </w:pPr>
    </w:p>
    <w:p w14:paraId="5D9F55C7" w14:textId="31AFCADB" w:rsidR="00EA6C93" w:rsidRDefault="000D785F" w:rsidP="003E3B17">
      <w:pPr>
        <w:spacing w:after="0" w:line="276" w:lineRule="auto"/>
        <w:jc w:val="left"/>
        <w:rPr>
          <w:sz w:val="16"/>
          <w:szCs w:val="20"/>
        </w:rPr>
      </w:pPr>
      <w:r>
        <w:rPr>
          <w:sz w:val="16"/>
          <w:szCs w:val="20"/>
        </w:rPr>
        <w:t xml:space="preserve">SA - </w:t>
      </w:r>
      <w:r w:rsidR="00EA6C93" w:rsidRPr="00EA6C93">
        <w:rPr>
          <w:sz w:val="16"/>
          <w:szCs w:val="20"/>
        </w:rPr>
        <w:t xml:space="preserve">recorded a substantial increase in the proportion of serious claims due to these mechanisms </w:t>
      </w:r>
      <w:r w:rsidR="00EA6C93">
        <w:rPr>
          <w:sz w:val="16"/>
          <w:szCs w:val="20"/>
        </w:rPr>
        <w:t xml:space="preserve">in </w:t>
      </w:r>
      <w:r w:rsidR="00EA6C93" w:rsidRPr="00EA6C93">
        <w:rPr>
          <w:sz w:val="16"/>
          <w:szCs w:val="20"/>
        </w:rPr>
        <w:t xml:space="preserve">2017–18. These substantial changes in proportions can be related to the fluctuations in the number of serious claims coded to “Unspecified mechanisms of incident” in these years and may therefore reflect issues with coding rather than significant increases or decreases in serious claims related to the specific issues noted above. </w:t>
      </w:r>
    </w:p>
    <w:p w14:paraId="5EC6F995" w14:textId="77777777" w:rsidR="00EA6C93" w:rsidRDefault="00EA6C93" w:rsidP="003E3B17">
      <w:pPr>
        <w:spacing w:after="0" w:line="276" w:lineRule="auto"/>
        <w:jc w:val="left"/>
        <w:rPr>
          <w:sz w:val="16"/>
          <w:szCs w:val="20"/>
        </w:rPr>
      </w:pPr>
    </w:p>
    <w:p w14:paraId="02A217B5" w14:textId="3F79DF0D" w:rsidR="000D785F" w:rsidRDefault="000D785F" w:rsidP="003E3B17">
      <w:pPr>
        <w:spacing w:after="0" w:line="276" w:lineRule="auto"/>
        <w:jc w:val="left"/>
        <w:rPr>
          <w:rStyle w:val="ui-provider"/>
          <w:rFonts w:eastAsiaTheme="majorEastAsia"/>
          <w:sz w:val="16"/>
          <w:szCs w:val="20"/>
        </w:rPr>
      </w:pPr>
      <w:r>
        <w:rPr>
          <w:rStyle w:val="ui-provider"/>
          <w:rFonts w:eastAsiaTheme="majorEastAsia"/>
          <w:sz w:val="16"/>
          <w:szCs w:val="20"/>
        </w:rPr>
        <w:t>Seacare - s</w:t>
      </w:r>
      <w:r w:rsidR="00EA6C93" w:rsidRPr="00222D4C">
        <w:rPr>
          <w:rStyle w:val="ui-provider"/>
          <w:rFonts w:eastAsiaTheme="majorEastAsia"/>
          <w:sz w:val="16"/>
          <w:szCs w:val="20"/>
        </w:rPr>
        <w:t>ome values for Seacare have been suppressed as the annual workers' compensation claim counts are too low to be reported (less than 5)</w:t>
      </w:r>
      <w:r w:rsidR="00EA6C93">
        <w:rPr>
          <w:rStyle w:val="ui-provider"/>
          <w:rFonts w:eastAsiaTheme="majorEastAsia"/>
          <w:sz w:val="16"/>
          <w:szCs w:val="20"/>
        </w:rPr>
        <w:t>.</w:t>
      </w:r>
    </w:p>
    <w:p w14:paraId="4FD44825" w14:textId="77777777" w:rsidR="000D785F" w:rsidRDefault="000D785F" w:rsidP="003E3B17">
      <w:pPr>
        <w:spacing w:after="0" w:line="276" w:lineRule="auto"/>
        <w:jc w:val="left"/>
        <w:rPr>
          <w:rStyle w:val="ui-provider"/>
          <w:rFonts w:eastAsiaTheme="majorEastAsia"/>
          <w:sz w:val="16"/>
          <w:szCs w:val="20"/>
        </w:rPr>
      </w:pPr>
    </w:p>
    <w:p w14:paraId="08A43A2B" w14:textId="5039ED90" w:rsidR="008659BF" w:rsidRPr="00FF05E7" w:rsidRDefault="000D785F" w:rsidP="003E3B17">
      <w:pPr>
        <w:spacing w:after="0" w:line="276" w:lineRule="auto"/>
        <w:jc w:val="left"/>
        <w:rPr>
          <w:rFonts w:eastAsiaTheme="majorEastAsia"/>
          <w:sz w:val="16"/>
          <w:szCs w:val="20"/>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r w:rsidR="008659BF">
        <w:br w:type="page"/>
      </w:r>
    </w:p>
    <w:p w14:paraId="705AD573" w14:textId="2AAE28AF" w:rsidR="00485C33" w:rsidRPr="00222D4C" w:rsidRDefault="00485C33" w:rsidP="00485C33">
      <w:pPr>
        <w:pStyle w:val="Heading1"/>
        <w:spacing w:before="0"/>
      </w:pPr>
      <w:bookmarkStart w:id="58" w:name="_Toc150245688"/>
      <w:r w:rsidRPr="00222D4C">
        <w:lastRenderedPageBreak/>
        <w:t xml:space="preserve">Vehicle incidents </w:t>
      </w:r>
      <w:r w:rsidR="00FF05E7" w:rsidRPr="00222D4C">
        <w:t>and other</w:t>
      </w:r>
      <w:bookmarkEnd w:id="58"/>
    </w:p>
    <w:p w14:paraId="016314D6" w14:textId="727A9F44" w:rsidR="00485C33" w:rsidRPr="00086AB2" w:rsidRDefault="00485C33" w:rsidP="0031228B">
      <w:pPr>
        <w:pStyle w:val="Heading3"/>
        <w:spacing w:before="120" w:after="60"/>
      </w:pPr>
      <w:bookmarkStart w:id="59" w:name="_Toc150245689"/>
      <w:r w:rsidRPr="00222D4C">
        <w:t xml:space="preserve">Proportion of serious claims involving Vehicle incidents </w:t>
      </w:r>
      <w:r w:rsidR="00B31063" w:rsidRPr="00222D4C">
        <w:t xml:space="preserve">and other mechanisms </w:t>
      </w:r>
      <w:r w:rsidRPr="00222D4C">
        <w:t>by jurisdiction</w:t>
      </w:r>
      <w:r>
        <w:t xml:space="preserve"> </w:t>
      </w:r>
      <w:r w:rsidR="00222D4C">
        <w:t>(previously i</w:t>
      </w:r>
      <w:r w:rsidR="00222D4C" w:rsidRPr="00222D4C">
        <w:t>ndicator 10</w:t>
      </w:r>
      <w:r w:rsidR="00222D4C" w:rsidRPr="00222D4C">
        <w:rPr>
          <w:noProof/>
        </w:rPr>
        <w:fldChar w:fldCharType="begin"/>
      </w:r>
      <w:r w:rsidR="00222D4C" w:rsidRPr="00222D4C">
        <w:rPr>
          <w:noProof/>
        </w:rPr>
        <w:instrText xml:space="preserve"> SEQ Indicator_10 \* alphabetic </w:instrText>
      </w:r>
      <w:r w:rsidR="00222D4C" w:rsidRPr="00222D4C">
        <w:rPr>
          <w:noProof/>
        </w:rPr>
        <w:fldChar w:fldCharType="separate"/>
      </w:r>
      <w:r w:rsidR="00222D4C" w:rsidRPr="00222D4C">
        <w:rPr>
          <w:noProof/>
        </w:rPr>
        <w:t>g</w:t>
      </w:r>
      <w:r w:rsidR="00222D4C" w:rsidRPr="00222D4C">
        <w:rPr>
          <w:noProof/>
        </w:rPr>
        <w:fldChar w:fldCharType="end"/>
      </w:r>
      <w:r w:rsidR="00222D4C">
        <w:rPr>
          <w:noProof/>
        </w:rPr>
        <w:t>)</w:t>
      </w:r>
      <w:bookmarkEnd w:id="59"/>
    </w:p>
    <w:p w14:paraId="48B96FE8" w14:textId="416ECE96" w:rsidR="002C537A" w:rsidRDefault="00371E9E" w:rsidP="00A20109">
      <w:pPr>
        <w:spacing w:before="120" w:after="0"/>
      </w:pPr>
      <w:r>
        <w:rPr>
          <w:noProof/>
        </w:rPr>
        <w:drawing>
          <wp:inline distT="0" distB="0" distL="0" distR="0" wp14:anchorId="5E9AA129" wp14:editId="1730F90C">
            <wp:extent cx="6074797" cy="3263265"/>
            <wp:effectExtent l="0" t="0" r="2540" b="13335"/>
            <wp:docPr id="1443309344" name="Chart 1">
              <a:extLst xmlns:a="http://schemas.openxmlformats.org/drawingml/2006/main">
                <a:ext uri="{FF2B5EF4-FFF2-40B4-BE49-F238E27FC236}">
                  <a16:creationId xmlns:a16="http://schemas.microsoft.com/office/drawing/2014/main" id="{2D2C1015-3F4E-4A67-9E67-FFA307469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2C30CDF" w14:textId="17EF745C" w:rsidR="00C16567" w:rsidRDefault="000D785F" w:rsidP="00B1167F">
      <w:pPr>
        <w:spacing w:before="120"/>
        <w:rPr>
          <w:sz w:val="16"/>
          <w:szCs w:val="20"/>
        </w:rPr>
      </w:pPr>
      <w:r>
        <w:rPr>
          <w:sz w:val="16"/>
          <w:szCs w:val="20"/>
        </w:rPr>
        <w:t>Seacare - s</w:t>
      </w:r>
      <w:r w:rsidR="00C16567" w:rsidRPr="00B31063">
        <w:rPr>
          <w:sz w:val="16"/>
          <w:szCs w:val="20"/>
        </w:rPr>
        <w:t>ome values for Seacare have been suppressed as the annual workers' compensation claim counts are too low to be reported (less than 5)</w:t>
      </w:r>
      <w:r w:rsidR="00222D4C">
        <w:rPr>
          <w:sz w:val="16"/>
          <w:szCs w:val="20"/>
        </w:rPr>
        <w:t>.</w:t>
      </w:r>
    </w:p>
    <w:p w14:paraId="6276A80F" w14:textId="59DD83A3" w:rsidR="000D785F" w:rsidRDefault="000D785F" w:rsidP="00B1167F">
      <w:pPr>
        <w:spacing w:before="120"/>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415A736F" w14:textId="63BE3595" w:rsidR="002C537A" w:rsidRPr="00086AB2" w:rsidRDefault="002C537A" w:rsidP="002C537A">
      <w:pPr>
        <w:pStyle w:val="Heading1"/>
        <w:spacing w:before="0"/>
      </w:pPr>
      <w:bookmarkStart w:id="60" w:name="_Toc150245690"/>
      <w:r w:rsidRPr="00086AB2">
        <w:t xml:space="preserve">Heat, </w:t>
      </w:r>
      <w:proofErr w:type="gramStart"/>
      <w:r w:rsidRPr="00086AB2">
        <w:t>electricity</w:t>
      </w:r>
      <w:proofErr w:type="gramEnd"/>
      <w:r w:rsidRPr="00086AB2">
        <w:t xml:space="preserve"> and other environmental factors</w:t>
      </w:r>
      <w:bookmarkEnd w:id="60"/>
      <w:r>
        <w:t xml:space="preserve"> </w:t>
      </w:r>
    </w:p>
    <w:p w14:paraId="6B937A67" w14:textId="76C9A1F5" w:rsidR="00485C33" w:rsidRDefault="00485C33" w:rsidP="0031228B">
      <w:pPr>
        <w:pStyle w:val="Heading3"/>
        <w:spacing w:before="120" w:after="60"/>
        <w:rPr>
          <w:noProof/>
        </w:rPr>
      </w:pPr>
      <w:bookmarkStart w:id="61" w:name="_Toc150245691"/>
      <w:r w:rsidRPr="00086AB2">
        <w:t xml:space="preserve">Proportion of serious claims involving Heat, </w:t>
      </w:r>
      <w:proofErr w:type="gramStart"/>
      <w:r w:rsidRPr="00086AB2">
        <w:t>electricity</w:t>
      </w:r>
      <w:proofErr w:type="gramEnd"/>
      <w:r w:rsidRPr="00086AB2">
        <w:t xml:space="preserve"> and other environmental factors by jurisdiction</w:t>
      </w:r>
      <w:r w:rsidR="00995D6F">
        <w:t xml:space="preserve"> (previously i</w:t>
      </w:r>
      <w:r w:rsidR="00995D6F" w:rsidRPr="00086AB2">
        <w:t>ndicator 10</w:t>
      </w:r>
      <w:r w:rsidR="00995D6F" w:rsidRPr="00086AB2">
        <w:rPr>
          <w:noProof/>
        </w:rPr>
        <w:fldChar w:fldCharType="begin"/>
      </w:r>
      <w:r w:rsidR="00995D6F" w:rsidRPr="00086AB2">
        <w:rPr>
          <w:noProof/>
        </w:rPr>
        <w:instrText xml:space="preserve"> SEQ Indicator_10 \* alphabetic </w:instrText>
      </w:r>
      <w:r w:rsidR="00995D6F" w:rsidRPr="00086AB2">
        <w:rPr>
          <w:noProof/>
        </w:rPr>
        <w:fldChar w:fldCharType="separate"/>
      </w:r>
      <w:r w:rsidR="00995D6F">
        <w:rPr>
          <w:noProof/>
        </w:rPr>
        <w:t>h</w:t>
      </w:r>
      <w:r w:rsidR="00995D6F" w:rsidRPr="00086AB2">
        <w:rPr>
          <w:noProof/>
        </w:rPr>
        <w:fldChar w:fldCharType="end"/>
      </w:r>
      <w:r w:rsidR="00995D6F">
        <w:rPr>
          <w:noProof/>
        </w:rPr>
        <w:t>)</w:t>
      </w:r>
      <w:bookmarkEnd w:id="61"/>
    </w:p>
    <w:p w14:paraId="7D9914C3" w14:textId="4361DF65" w:rsidR="005D2DF1" w:rsidRDefault="00A50BD1" w:rsidP="00A20109">
      <w:pPr>
        <w:spacing w:after="0"/>
        <w:rPr>
          <w:lang w:eastAsia="en-US"/>
        </w:rPr>
      </w:pPr>
      <w:r>
        <w:rPr>
          <w:noProof/>
        </w:rPr>
        <mc:AlternateContent>
          <mc:Choice Requires="wps">
            <w:drawing>
              <wp:anchor distT="0" distB="0" distL="114300" distR="114300" simplePos="0" relativeHeight="251741184" behindDoc="0" locked="0" layoutInCell="1" allowOverlap="1" wp14:anchorId="7C19E65B" wp14:editId="6A14366D">
                <wp:simplePos x="0" y="0"/>
                <wp:positionH relativeFrom="column">
                  <wp:posOffset>5049215</wp:posOffset>
                </wp:positionH>
                <wp:positionV relativeFrom="paragraph">
                  <wp:posOffset>2089912</wp:posOffset>
                </wp:positionV>
                <wp:extent cx="454025" cy="1016813"/>
                <wp:effectExtent l="0" t="0" r="3175" b="0"/>
                <wp:wrapNone/>
                <wp:docPr id="2" name="TextBox 1"/>
                <wp:cNvGraphicFramePr/>
                <a:graphic xmlns:a="http://schemas.openxmlformats.org/drawingml/2006/main">
                  <a:graphicData uri="http://schemas.microsoft.com/office/word/2010/wordprocessingShape">
                    <wps:wsp>
                      <wps:cNvSpPr txBox="1"/>
                      <wps:spPr>
                        <a:xfrm>
                          <a:off x="0" y="0"/>
                          <a:ext cx="454025" cy="1016813"/>
                        </a:xfrm>
                        <a:prstGeom prst="rect">
                          <a:avLst/>
                        </a:prstGeom>
                        <a:solidFill>
                          <a:schemeClr val="bg1"/>
                        </a:solidFill>
                      </wps:spPr>
                      <wps:txbx>
                        <w:txbxContent>
                          <w:p w14:paraId="447D7E8C" w14:textId="77777777" w:rsidR="00A50BD1" w:rsidRPr="00C7471A" w:rsidRDefault="00A50BD1"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3C00DD0A" w14:textId="77777777" w:rsidR="003622D8" w:rsidRPr="00C7471A" w:rsidRDefault="003622D8"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34FCFC75" w14:textId="77777777" w:rsidR="00A50BD1" w:rsidRPr="00C7471A" w:rsidRDefault="00A50BD1"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7568AFF3" w14:textId="77777777" w:rsidR="00A50BD1" w:rsidRPr="00C7471A" w:rsidRDefault="00A50BD1"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7BE57182" w14:textId="77777777" w:rsidR="003622D8" w:rsidRPr="00C7471A" w:rsidRDefault="003622D8"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1D191347" w14:textId="72189514" w:rsidR="00A50BD1" w:rsidRPr="00C7471A" w:rsidRDefault="00A50BD1"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C19E65B" id="_x0000_t202" coordsize="21600,21600" o:spt="202" path="m,l,21600r21600,l21600,xe">
                <v:stroke joinstyle="miter"/>
                <v:path gradientshapeok="t" o:connecttype="rect"/>
              </v:shapetype>
              <v:shape id="TextBox 1" o:spid="_x0000_s1026" type="#_x0000_t202" style="position:absolute;left:0;text-align:left;margin-left:397.6pt;margin-top:164.55pt;width:35.75pt;height:8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zklAEAABEDAAAOAAAAZHJzL2Uyb0RvYy54bWysUsFuGyEQvVfKPyDuNbtuEkUrr6M2UXqp&#10;0kppPwCz4EUChgzYu/77DNi1o/ZW9QIMMzzeezOr+9k7tteYLISet4uGMx0UDDZse/7r59PHO85S&#10;lmGQDoLu+UEnfr+++rCaYqeXMIIbNDICCambYs/HnGMnRFKj9jItIOpASQPoZaYQt2JAORG6d2LZ&#10;NLdiAhwigtIp0e3jMcnXFd8YrfJ3Y5LOzPWcuOW6Yl03ZRXrley2KONo1YmG/AcWXtpAn56hHmWW&#10;bIf2LyhvFUICkxcKvABjrNJVA6lpmz/UvIwy6qqFzEnxbFP6f7Dqef8SfyDL8xeYqYHFkCmmLtFl&#10;0TMb9GUnpozyZOHhbJueM1N0eX1z3SxvOFOUapv29q79VGDE5XXElL9q8Kwceo7UluqW3H9L+Vj6&#10;u6R8lsDZ4ck6V4MyCvrBIdtLauJmWzkS+LsqcaFcTnnezCcdGxgOJG+iDvc8ve4kas4wuweoA1E+&#10;CPB5l8HYSqQ8P74hASUg36uU04yUxr6Pa9VlktdvAAAA//8DAFBLAwQUAAYACAAAACEAaZIpsuAA&#10;AAALAQAADwAAAGRycy9kb3ducmV2LnhtbEyPy07DMBBF90j8gzVI7KjdAHkRpwIkNmxQS8XaiYc4&#10;NB5HsdsEvh6zKsvRPbr3TLVZ7MBOOPnekYT1SgBDap3uqZOwf3+5yYH5oEirwRFK+EYPm/ryolKl&#10;djNt8bQLHYsl5EslwYQwlpz71qBVfuVGpJh9usmqEM+p43pScyy3A0+ESLlVPcUFo0Z8Ntgedkcr&#10;4aP7wqf+dfoRb1zMh9xt901mpLy+Wh4fgAVcwhmGP/2oDnV0atyRtGeDhKy4TyIq4TYp1sAikadp&#10;BqyRcJcXCfC64v9/qH8BAAD//wMAUEsBAi0AFAAGAAgAAAAhALaDOJL+AAAA4QEAABMAAAAAAAAA&#10;AAAAAAAAAAAAAFtDb250ZW50X1R5cGVzXS54bWxQSwECLQAUAAYACAAAACEAOP0h/9YAAACUAQAA&#10;CwAAAAAAAAAAAAAAAAAvAQAAX3JlbHMvLnJlbHNQSwECLQAUAAYACAAAACEArRaM5JQBAAARAwAA&#10;DgAAAAAAAAAAAAAAAAAuAgAAZHJzL2Uyb0RvYy54bWxQSwECLQAUAAYACAAAACEAaZIpsuAAAAAL&#10;AQAADwAAAAAAAAAAAAAAAADuAwAAZHJzL2Rvd25yZXYueG1sUEsFBgAAAAAEAAQA8wAAAPsEAAAA&#10;AA==&#10;" fillcolor="white [3212]" stroked="f">
                <v:textbox>
                  <w:txbxContent>
                    <w:p w14:paraId="447D7E8C" w14:textId="77777777" w:rsidR="00A50BD1" w:rsidRPr="00C7471A" w:rsidRDefault="00A50BD1"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3C00DD0A" w14:textId="77777777" w:rsidR="003622D8" w:rsidRPr="00C7471A" w:rsidRDefault="003622D8"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34FCFC75" w14:textId="77777777" w:rsidR="00A50BD1" w:rsidRPr="00C7471A" w:rsidRDefault="00A50BD1"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7568AFF3" w14:textId="77777777" w:rsidR="00A50BD1" w:rsidRPr="00C7471A" w:rsidRDefault="00A50BD1"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7BE57182" w14:textId="77777777" w:rsidR="003622D8" w:rsidRPr="00C7471A" w:rsidRDefault="003622D8"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p w14:paraId="1D191347" w14:textId="72189514" w:rsidR="00A50BD1" w:rsidRPr="00C7471A" w:rsidRDefault="00A50BD1" w:rsidP="00C7471A">
                      <w:pPr>
                        <w:pBdr>
                          <w:bottom w:val="single" w:sz="4" w:space="1" w:color="auto"/>
                        </w:pBdr>
                        <w:spacing w:after="60"/>
                        <w:rPr>
                          <w:rFonts w:cs="Arial"/>
                          <w:sz w:val="16"/>
                          <w:szCs w:val="16"/>
                        </w:rPr>
                      </w:pPr>
                      <w:proofErr w:type="spellStart"/>
                      <w:r w:rsidRPr="00C7471A">
                        <w:rPr>
                          <w:rFonts w:cs="Arial"/>
                          <w:sz w:val="16"/>
                          <w:szCs w:val="16"/>
                        </w:rPr>
                        <w:t>n.p.</w:t>
                      </w:r>
                      <w:proofErr w:type="spellEnd"/>
                    </w:p>
                  </w:txbxContent>
                </v:textbox>
              </v:shape>
            </w:pict>
          </mc:Fallback>
        </mc:AlternateContent>
      </w:r>
      <w:r w:rsidR="003622D8">
        <w:rPr>
          <w:noProof/>
        </w:rPr>
        <mc:AlternateContent>
          <mc:Choice Requires="wps">
            <w:drawing>
              <wp:anchor distT="0" distB="0" distL="114300" distR="114300" simplePos="0" relativeHeight="251742208" behindDoc="0" locked="0" layoutInCell="1" allowOverlap="1" wp14:anchorId="23ABFFFE" wp14:editId="73C838BC">
                <wp:simplePos x="0" y="0"/>
                <wp:positionH relativeFrom="column">
                  <wp:posOffset>4624934</wp:posOffset>
                </wp:positionH>
                <wp:positionV relativeFrom="paragraph">
                  <wp:posOffset>2382520</wp:posOffset>
                </wp:positionV>
                <wp:extent cx="416610" cy="218415"/>
                <wp:effectExtent l="0" t="0" r="2540" b="0"/>
                <wp:wrapNone/>
                <wp:docPr id="1084771705" name="Text Box 2"/>
                <wp:cNvGraphicFramePr/>
                <a:graphic xmlns:a="http://schemas.openxmlformats.org/drawingml/2006/main">
                  <a:graphicData uri="http://schemas.microsoft.com/office/word/2010/wordprocessingShape">
                    <wps:wsp>
                      <wps:cNvSpPr txBox="1"/>
                      <wps:spPr>
                        <a:xfrm>
                          <a:off x="0" y="0"/>
                          <a:ext cx="416610" cy="218415"/>
                        </a:xfrm>
                        <a:prstGeom prst="rect">
                          <a:avLst/>
                        </a:prstGeom>
                        <a:solidFill>
                          <a:schemeClr val="lt1"/>
                        </a:solidFill>
                        <a:ln w="6350">
                          <a:noFill/>
                        </a:ln>
                      </wps:spPr>
                      <wps:txbx>
                        <w:txbxContent>
                          <w:p w14:paraId="4EA74BD3" w14:textId="77777777" w:rsidR="003622D8" w:rsidRPr="00221982" w:rsidRDefault="003622D8" w:rsidP="00221982">
                            <w:pPr>
                              <w:spacing w:after="60"/>
                              <w:rPr>
                                <w:rFonts w:cs="Arial"/>
                                <w:sz w:val="16"/>
                                <w:szCs w:val="16"/>
                              </w:rPr>
                            </w:pPr>
                            <w:proofErr w:type="spellStart"/>
                            <w:r w:rsidRPr="00221982">
                              <w:rPr>
                                <w:rFonts w:cs="Arial"/>
                                <w:sz w:val="16"/>
                                <w:szCs w:val="16"/>
                              </w:rPr>
                              <w:t>n.p.</w:t>
                            </w:r>
                            <w:proofErr w:type="spellEnd"/>
                          </w:p>
                          <w:p w14:paraId="57570790" w14:textId="77777777" w:rsidR="003622D8" w:rsidRDefault="003622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BFFFE" id="Text Box 2" o:spid="_x0000_s1027" type="#_x0000_t202" style="position:absolute;left:0;text-align:left;margin-left:364.15pt;margin-top:187.6pt;width:32.8pt;height:17.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L7LQIAAFoEAAAOAAAAZHJzL2Uyb0RvYy54bWysVE2P2yAQvVfqf0DcG8dpkm6tOKs0q1SV&#10;ot2VstWeCYYYCTMUSOz013fA+eq2p6oXPMMMj5k3D8/uu0aTg3BegSlpPhhSIgyHSpldSb+/rD7c&#10;UeIDMxXTYERJj8LT+/n7d7PWFmIENehKOIIgxhetLWkdgi2yzPNaNMwPwAqDQQmuYQFdt8sqx1pE&#10;b3Q2Gg6nWQuusg648B53H/ognSd8KQUPT1J6EYguKdYW0urSuo1rNp+xYueYrRU/lcH+oYqGKYOX&#10;XqAeWGBk79QfUI3iDjzIMODQZCCl4iL1gN3kwzfdbGpmReoFyfH2QpP/f7D88bCxz46E7gt0OMBI&#10;SGt94XEz9tNJ18QvVkowjhQeL7SJLhCOm+N8Os0xwjE0yu/G+SSiZNfD1vnwVUBDolFSh1NJZLHD&#10;2oc+9ZwS7/KgVbVSWicnKkEstSMHhjPUIZWI4L9laUPakk4/ToYJ2EA83iNrg7VcW4pW6LYdUdVN&#10;u1uojsiCg14g3vKVwlrXzIdn5lAR2B6qPDzhIjXgXXCyKKnB/fzbfszHQWGUkhYVVlL/Y8+coER/&#10;MzjCz/l4HCWZnPHk0wgddxvZ3kbMvlkCEpDje7I8mTE/6LMpHTSv+BgW8VYMMcPx7pKGs7kMve7x&#10;MXGxWKQkFKFlYW02lkfoSHicxEv3ypw9jSvgnB/hrEVWvJlanxtPGljsA0iVRhp57lk90Y8CTqI4&#10;Pbb4Qm79lHX9Jcx/AQAA//8DAFBLAwQUAAYACAAAACEAQyRGFOMAAAALAQAADwAAAGRycy9kb3du&#10;cmV2LnhtbEyPwU7DMBBE70j8g7VIXFDrENOmCdlUCAGVuNEUEDc3XpKI2I5iNwl/jznBcTVPM2/z&#10;7aw7NtLgWmsQrpcRMDKVVa2pEQ7l42IDzHlplOysIYRvcrAtzs9ymSk7mRca975mocS4TCI03vcZ&#10;565qSEu3tD2ZkH3aQUsfzqHmapBTKNcdj6NozbVsTVhoZE/3DVVf+5NG+Liq35/d/PQ6iZXoH3Zj&#10;mbypEvHyYr67BeZp9n8w/OoHdSiC09GejHKsQ0jijQgogkhWMbBAJKlIgR0RbqJ0DbzI+f8fih8A&#10;AAD//wMAUEsBAi0AFAAGAAgAAAAhALaDOJL+AAAA4QEAABMAAAAAAAAAAAAAAAAAAAAAAFtDb250&#10;ZW50X1R5cGVzXS54bWxQSwECLQAUAAYACAAAACEAOP0h/9YAAACUAQAACwAAAAAAAAAAAAAAAAAv&#10;AQAAX3JlbHMvLnJlbHNQSwECLQAUAAYACAAAACEAawCS+y0CAABaBAAADgAAAAAAAAAAAAAAAAAu&#10;AgAAZHJzL2Uyb0RvYy54bWxQSwECLQAUAAYACAAAACEAQyRGFOMAAAALAQAADwAAAAAAAAAAAAAA&#10;AACHBAAAZHJzL2Rvd25yZXYueG1sUEsFBgAAAAAEAAQA8wAAAJcFAAAAAA==&#10;" fillcolor="white [3201]" stroked="f" strokeweight=".5pt">
                <v:textbox>
                  <w:txbxContent>
                    <w:p w14:paraId="4EA74BD3" w14:textId="77777777" w:rsidR="003622D8" w:rsidRPr="00221982" w:rsidRDefault="003622D8" w:rsidP="00221982">
                      <w:pPr>
                        <w:spacing w:after="60"/>
                        <w:rPr>
                          <w:rFonts w:cs="Arial"/>
                          <w:sz w:val="16"/>
                          <w:szCs w:val="16"/>
                        </w:rPr>
                      </w:pPr>
                      <w:proofErr w:type="spellStart"/>
                      <w:r w:rsidRPr="00221982">
                        <w:rPr>
                          <w:rFonts w:cs="Arial"/>
                          <w:sz w:val="16"/>
                          <w:szCs w:val="16"/>
                        </w:rPr>
                        <w:t>n.p.</w:t>
                      </w:r>
                      <w:proofErr w:type="spellEnd"/>
                    </w:p>
                    <w:p w14:paraId="57570790" w14:textId="77777777" w:rsidR="003622D8" w:rsidRDefault="003622D8"/>
                  </w:txbxContent>
                </v:textbox>
              </v:shape>
            </w:pict>
          </mc:Fallback>
        </mc:AlternateContent>
      </w:r>
      <w:r w:rsidR="005D2DF1">
        <w:rPr>
          <w:noProof/>
        </w:rPr>
        <w:drawing>
          <wp:inline distT="0" distB="0" distL="0" distR="0" wp14:anchorId="00B5DFFD" wp14:editId="717D1F3F">
            <wp:extent cx="5985510" cy="3275937"/>
            <wp:effectExtent l="0" t="0" r="0" b="1270"/>
            <wp:docPr id="405611830" name="Chart 1">
              <a:extLst xmlns:a="http://schemas.openxmlformats.org/drawingml/2006/main">
                <a:ext uri="{FF2B5EF4-FFF2-40B4-BE49-F238E27FC236}">
                  <a16:creationId xmlns:a16="http://schemas.microsoft.com/office/drawing/2014/main" id="{57186616-5EF4-46A8-93B9-E8F14C5964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677E708" w14:textId="65F919A6" w:rsidR="000D785F" w:rsidRDefault="000D785F" w:rsidP="000D785F">
      <w:pPr>
        <w:rPr>
          <w:noProof/>
        </w:rPr>
      </w:pPr>
      <w:r w:rsidRPr="005D2DF1">
        <w:rPr>
          <w:sz w:val="16"/>
          <w:szCs w:val="20"/>
        </w:rPr>
        <w:t xml:space="preserve">Values for 2018-19 </w:t>
      </w:r>
      <w:r>
        <w:rPr>
          <w:sz w:val="16"/>
          <w:szCs w:val="20"/>
        </w:rPr>
        <w:t xml:space="preserve">the </w:t>
      </w:r>
      <w:r w:rsidRPr="005D2DF1">
        <w:rPr>
          <w:sz w:val="16"/>
          <w:szCs w:val="20"/>
        </w:rPr>
        <w:t>Aus</w:t>
      </w:r>
      <w:r>
        <w:rPr>
          <w:sz w:val="16"/>
          <w:szCs w:val="20"/>
        </w:rPr>
        <w:t>tralian</w:t>
      </w:r>
      <w:r w:rsidRPr="005D2DF1">
        <w:rPr>
          <w:sz w:val="16"/>
          <w:szCs w:val="20"/>
        </w:rPr>
        <w:t xml:space="preserve"> Gov</w:t>
      </w:r>
      <w:r>
        <w:rPr>
          <w:sz w:val="16"/>
          <w:szCs w:val="20"/>
        </w:rPr>
        <w:t xml:space="preserve">ernment </w:t>
      </w:r>
      <w:r w:rsidRPr="005D2DF1">
        <w:rPr>
          <w:sz w:val="16"/>
          <w:szCs w:val="20"/>
        </w:rPr>
        <w:t>and values for Seacare have been suppressed as the annual workers' compensation claim counts are too low to be reported (less than 5)</w:t>
      </w:r>
      <w:r>
        <w:rPr>
          <w:noProof/>
        </w:rPr>
        <mc:AlternateContent>
          <mc:Choice Requires="wps">
            <w:drawing>
              <wp:anchor distT="0" distB="0" distL="114300" distR="114300" simplePos="0" relativeHeight="251736064" behindDoc="0" locked="0" layoutInCell="1" allowOverlap="1" wp14:anchorId="5D216C55" wp14:editId="6645DDA8">
                <wp:simplePos x="0" y="0"/>
                <wp:positionH relativeFrom="column">
                  <wp:posOffset>1519711</wp:posOffset>
                </wp:positionH>
                <wp:positionV relativeFrom="paragraph">
                  <wp:posOffset>3103521</wp:posOffset>
                </wp:positionV>
                <wp:extent cx="3943350" cy="127000"/>
                <wp:effectExtent l="0" t="0" r="19050" b="25400"/>
                <wp:wrapNone/>
                <wp:docPr id="836641401" name="Rectangle 836641401"/>
                <wp:cNvGraphicFramePr/>
                <a:graphic xmlns:a="http://schemas.openxmlformats.org/drawingml/2006/main">
                  <a:graphicData uri="http://schemas.microsoft.com/office/word/2010/wordprocessingShape">
                    <wps:wsp>
                      <wps:cNvSpPr/>
                      <wps:spPr>
                        <a:xfrm>
                          <a:off x="0" y="0"/>
                          <a:ext cx="3943350"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9BC58" id="Rectangle 836641401" o:spid="_x0000_s1026" style="position:absolute;margin-left:119.65pt;margin-top:244.35pt;width:310.5pt;height:10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Z6egIAAIYFAAAOAAAAZHJzL2Uyb0RvYy54bWysVE1v2zAMvQ/YfxB0X22n6boGdYogRYYB&#10;RVu0HXpWZCkWIIuapMTJfv0o+SNtV+xQ7CKLJvlIPpG8vNo3muyE8wpMSYuTnBJhOFTKbEr682n1&#10;5RslPjBTMQ1GlPQgPL2af/502dqZmEANuhKOIIjxs9aWtA7BzrLM81o0zJ+AFQaVElzDAopuk1WO&#10;tYje6GyS51+zFlxlHXDhPf697pR0nvClFDzcSelFILqkmFtIp0vnOp7Z/JLNNo7ZWvE+DfaBLBqm&#10;DAYdoa5ZYGTr1F9QjeIOPMhwwqHJQErFRaoBqynyN9U81syKVAuS4+1Ik/9/sPx292jvHdLQWj/z&#10;eI1V7KVr4hfzI/tE1mEkS+wD4fjz9GJ6enqGnHLUFZPzPE9sZkdv63z4LqAh8VJSh4+ROGK7Gx8w&#10;IpoOJjGYB62qldI6CbEBxFI7smP4dOtNEZ8KPV5ZafMhR4SJntmx5HQLBy0injYPQhJVYZGTlHDq&#10;xmMyjHNhQtGpalaJLsczZGCgYPRIOSfAiCyxuhG7B3hd6IDdFdvbR1eRmnl0zv+VWOc8eqTIYMLo&#10;3CgD7j0AjVX1kTv7gaSOmsjSGqrDvSMOulHylq8UPu8N8+GeOZwd7AjcB+EOD6mhLSn0N0pqcL/f&#10;+x/tsaVRS0mLs1hS/2vLnKBE/zDY7BfFdBqHNwnTs/MJCu6lZv1SY7bNErBnCtw8lqdrtA96uEoH&#10;zTOujUWMiipmOMYuKQ9uEJah2xG4eLhYLJIZDqxl4cY8Wh7BI6uxfZ/2z8zZvscDTsctDHPLZm9a&#10;vbONngYW2wBSpTk48trzjcOeGqdfTHGbvJST1XF9zv8AAAD//wMAUEsDBBQABgAIAAAAIQAaPper&#10;3wAAAAsBAAAPAAAAZHJzL2Rvd25yZXYueG1sTI/BTsMwDIbvSLxDZCQuiCXb2JaWphNC4gpicNkt&#10;a7ymokmqJOsKT485saN/f/r9udpOrmcjxtQFr2A+E8DQN8F0vlXw+fFyL4GlrL3RffCo4BsTbOvr&#10;q0qXJpz9O4673DIq8anUCmzOQ8l5aiw6nWZhQE+7Y4hOZxpjy03UZyp3PV8IseZOd54uWD3gs8Xm&#10;a3dyCoqf5i3LMKxs7vZF6+avxzjeKXV7Mz09Ass45X8Y/vRJHWpyOoSTN4n1ChbLYkmoggcpN8CI&#10;kGtByUHBSlDC64pf/lD/AgAA//8DAFBLAQItABQABgAIAAAAIQC2gziS/gAAAOEBAAATAAAAAAAA&#10;AAAAAAAAAAAAAABbQ29udGVudF9UeXBlc10ueG1sUEsBAi0AFAAGAAgAAAAhADj9If/WAAAAlAEA&#10;AAsAAAAAAAAAAAAAAAAALwEAAF9yZWxzLy5yZWxzUEsBAi0AFAAGAAgAAAAhAAxitnp6AgAAhgUA&#10;AA4AAAAAAAAAAAAAAAAALgIAAGRycy9lMm9Eb2MueG1sUEsBAi0AFAAGAAgAAAAhABo+l6vfAAAA&#10;CwEAAA8AAAAAAAAAAAAAAAAA1AQAAGRycy9kb3ducmV2LnhtbFBLBQYAAAAABAAEAPMAAADgBQAA&#10;AAA=&#10;" fillcolor="white [3212]" strokecolor="white [3212]" strokeweight="2pt"/>
            </w:pict>
          </mc:Fallback>
        </mc:AlternateContent>
      </w:r>
      <w:r>
        <w:rPr>
          <w:sz w:val="16"/>
          <w:szCs w:val="20"/>
        </w:rPr>
        <w:t>.</w:t>
      </w:r>
      <w:r>
        <w:rPr>
          <w:noProof/>
        </w:rPr>
        <w:t xml:space="preserve"> </w:t>
      </w:r>
    </w:p>
    <w:p w14:paraId="1B188EEE" w14:textId="77777777" w:rsidR="000D785F" w:rsidRPr="005D2DF1" w:rsidRDefault="000D785F" w:rsidP="000D785F">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7E8205B2" w14:textId="77777777" w:rsidR="000D785F" w:rsidRDefault="000D785F" w:rsidP="000D785F">
      <w:pPr>
        <w:rPr>
          <w:noProof/>
        </w:rPr>
        <w:sectPr w:rsidR="000D785F" w:rsidSect="00B02854">
          <w:pgSz w:w="11906" w:h="16838"/>
          <w:pgMar w:top="1440" w:right="1800" w:bottom="1440" w:left="1276" w:header="708" w:footer="708" w:gutter="0"/>
          <w:cols w:space="242"/>
          <w:docGrid w:linePitch="360"/>
        </w:sectPr>
      </w:pPr>
    </w:p>
    <w:p w14:paraId="0F6DB613" w14:textId="5A205F73" w:rsidR="005F2FC4" w:rsidRPr="00086AB2" w:rsidRDefault="009C1651" w:rsidP="005D2DF1">
      <w:pPr>
        <w:pStyle w:val="SWASectionnumberingheading"/>
        <w:spacing w:before="0"/>
      </w:pPr>
      <w:bookmarkStart w:id="62" w:name="_Toc150245692"/>
      <w:r w:rsidRPr="00086AB2">
        <w:lastRenderedPageBreak/>
        <w:t>Claims by industry</w:t>
      </w:r>
      <w:bookmarkEnd w:id="62"/>
      <w:r w:rsidR="00C355C7">
        <w:t xml:space="preserve"> </w:t>
      </w:r>
    </w:p>
    <w:p w14:paraId="4BADCCDC" w14:textId="77777777" w:rsidR="00A76309" w:rsidRDefault="00D62774" w:rsidP="00066D3B">
      <w:pPr>
        <w:keepNext/>
        <w:keepLines/>
      </w:pPr>
      <w:r>
        <w:t xml:space="preserve">Frequency rates have been used in </w:t>
      </w:r>
      <w:r w:rsidR="00A575F7">
        <w:t xml:space="preserve">this section to </w:t>
      </w:r>
      <w:r w:rsidR="00A575F7" w:rsidRPr="00A575F7">
        <w:t>express the number of serious claims per million hours worked</w:t>
      </w:r>
      <w:r w:rsidR="00A575F7">
        <w:t xml:space="preserve"> in each industry.  </w:t>
      </w:r>
    </w:p>
    <w:p w14:paraId="72439CC0" w14:textId="60925509" w:rsidR="00A575F7" w:rsidRDefault="00A575F7" w:rsidP="00A575F7">
      <w:pPr>
        <w:keepNext/>
        <w:keepLines/>
      </w:pPr>
      <w:r>
        <w:t>T</w:t>
      </w:r>
      <w:r w:rsidRPr="00A575F7">
        <w:t>here are significant differences in the number of hours worked by different groups of employees and employees at different points in time</w:t>
      </w:r>
      <w:r>
        <w:t xml:space="preserve">. </w:t>
      </w:r>
      <w:r w:rsidR="007B7B09">
        <w:t>A</w:t>
      </w:r>
      <w:r w:rsidR="00BD4C0A">
        <w:t xml:space="preserve"> </w:t>
      </w:r>
      <w:r w:rsidRPr="00A575F7">
        <w:t>frequency rate accounts for these differences and allows more accurate comparisons</w:t>
      </w:r>
      <w:r w:rsidR="00BD4C0A">
        <w:t xml:space="preserve"> </w:t>
      </w:r>
      <w:r w:rsidR="007D16BD">
        <w:t>between jurisdictions and industries</w:t>
      </w:r>
      <w:r w:rsidRPr="00A575F7">
        <w:t>.</w:t>
      </w:r>
    </w:p>
    <w:p w14:paraId="4970FD9F" w14:textId="4B53C259" w:rsidR="009C1651" w:rsidRPr="00086AB2" w:rsidRDefault="003A1B9E" w:rsidP="005D2DF1">
      <w:pPr>
        <w:pStyle w:val="Heading3"/>
        <w:spacing w:before="120" w:after="0"/>
      </w:pPr>
      <w:bookmarkStart w:id="63" w:name="_Toc56603302"/>
      <w:bookmarkStart w:id="64" w:name="_Toc56772237"/>
      <w:bookmarkStart w:id="65" w:name="_Toc150245693"/>
      <w:r>
        <w:t>Frequency</w:t>
      </w:r>
      <w:r w:rsidRPr="00086AB2">
        <w:t xml:space="preserve"> </w:t>
      </w:r>
      <w:r w:rsidR="009C1651" w:rsidRPr="00086AB2">
        <w:t>rates of serious claims by industry</w:t>
      </w:r>
      <w:bookmarkEnd w:id="63"/>
      <w:bookmarkEnd w:id="64"/>
      <w:r w:rsidR="00663BD6">
        <w:t xml:space="preserve"> (previously i</w:t>
      </w:r>
      <w:r w:rsidR="00663BD6" w:rsidRPr="00086AB2">
        <w:t>ndicator</w:t>
      </w:r>
      <w:r w:rsidR="00663BD6">
        <w:t xml:space="preserve"> 11)</w:t>
      </w:r>
      <w:bookmarkEnd w:id="65"/>
    </w:p>
    <w:p w14:paraId="26C65FFE" w14:textId="0D527D35" w:rsidR="005D2DF1" w:rsidRDefault="00772032" w:rsidP="00392B8E">
      <w:r>
        <w:rPr>
          <w:noProof/>
        </w:rPr>
        <mc:AlternateContent>
          <mc:Choice Requires="wps">
            <w:drawing>
              <wp:anchor distT="0" distB="0" distL="114300" distR="114300" simplePos="0" relativeHeight="251732992" behindDoc="0" locked="0" layoutInCell="1" allowOverlap="1" wp14:anchorId="32A3CE72" wp14:editId="1729DF6C">
                <wp:simplePos x="0" y="0"/>
                <wp:positionH relativeFrom="column">
                  <wp:posOffset>1056335</wp:posOffset>
                </wp:positionH>
                <wp:positionV relativeFrom="paragraph">
                  <wp:posOffset>3898443</wp:posOffset>
                </wp:positionV>
                <wp:extent cx="7200900" cy="110067"/>
                <wp:effectExtent l="0" t="0" r="19050" b="23495"/>
                <wp:wrapNone/>
                <wp:docPr id="2144188140" name="Rectangle 2"/>
                <wp:cNvGraphicFramePr/>
                <a:graphic xmlns:a="http://schemas.openxmlformats.org/drawingml/2006/main">
                  <a:graphicData uri="http://schemas.microsoft.com/office/word/2010/wordprocessingShape">
                    <wps:wsp>
                      <wps:cNvSpPr/>
                      <wps:spPr>
                        <a:xfrm>
                          <a:off x="0" y="0"/>
                          <a:ext cx="7200900" cy="11006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80B10" id="Rectangle 2" o:spid="_x0000_s1026" style="position:absolute;margin-left:83.2pt;margin-top:306.95pt;width:567pt;height:8.6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DtdgIAAIYFAAAOAAAAZHJzL2Uyb0RvYy54bWysVFFP3DAMfp+0/xDlfbRFMMaJHjqBmCYh&#10;hgYTz7k0uUZK48zJXe/26+ekvR4wtAe0l9Sp7c/2F9sXl9vOso3CYMDVvDoqOVNOQmPcquY/H28+&#10;feEsROEaYcGpmu9U4Jfzjx8uej9Tx9CCbRQyAnFh1vuatzH6WVEE2apOhCPwypFSA3Yi0hVXRYOi&#10;J/TOFsdl+bnoARuPIFUI9Pd6UPJ5xtdayfhd66AiszWn3GI+MZ/LdBbzCzFbofCtkWMa4h1ZdMI4&#10;CjpBXYso2BrNX1CdkQgBdDyS0BWgtZEq10DVVOWrah5a4VWuhcgJfqIp/D9Yebd58PdINPQ+zAKJ&#10;qYqtxi59KT+2zWTtJrLUNjJJP8+I/vOSOJWkqyp6i7PEZnHw9hjiVwUdS0LNkR4jcyQ2tyEOpnuT&#10;FCyANc2NsTZfUgOoK4tsI+jplqtqBH9hZd27HCnH5FkcSs5S3FmV8Kz7oTQzDRV5nBPO3XhIRkip&#10;XKwGVSsaNeRYnZZEx1DX5JEJyYAJWVN1E/YI8LLQPfYAM9onV5WbeXIu/5XY4Dx55Mjg4uTcGQf4&#10;FoClqsbIg/2epIGaxNISmt09MoRhlIKXN4ae91aEeC+QZoc6gvZB/E6HttDXHEaJsxbw91v/kz21&#10;NGk562kWax5+rQUqzuw3R81+Xp2cpOHNl5NT6jzO8Llm+Vzj1t0VUM9UtHm8zGKyj3YvaoTuidbG&#10;IkUllXCSYtdcRtxfruKwI2jxSLVYZDMaWC/irXvwMoEnVlP7Pm6fBPqxxyNNxx3s51bMXrX6YJs8&#10;HSzWEbTJc3DgdeSbhj03zriY0jZ5fs9Wh/U5/wMAAP//AwBQSwMEFAAGAAgAAAAhAKxb+bDeAAAA&#10;DAEAAA8AAABkcnMvZG93bnJldi54bWxMj8FOwzAQRO9I/IO1SFwQtdNA1IQ4FULiCqJw4ebG2zgi&#10;Xkexmwa+nu0JjjP7NDtTbxc/iBmn2AfSkK0UCKQ22J46DR/vz7cbEDEZsmYIhBq+McK2ubyoTWXD&#10;id5w3qVOcAjFymhwKY2VlLF16E1chRGJb4cweZNYTp20kzlxuB/kWqlCetMTf3BmxCeH7dfu6DWU&#10;P+1r2oTx3qX+s+x89nKY5hutr6+WxwcQCZf0B8O5PleHhjvtw5FsFAProrhjVEOR5SWIM5Erxdae&#10;rTxbg2xq+X9E8wsAAP//AwBQSwECLQAUAAYACAAAACEAtoM4kv4AAADhAQAAEwAAAAAAAAAAAAAA&#10;AAAAAAAAW0NvbnRlbnRfVHlwZXNdLnhtbFBLAQItABQABgAIAAAAIQA4/SH/1gAAAJQBAAALAAAA&#10;AAAAAAAAAAAAAC8BAABfcmVscy8ucmVsc1BLAQItABQABgAIAAAAIQCkVGDtdgIAAIYFAAAOAAAA&#10;AAAAAAAAAAAAAC4CAABkcnMvZTJvRG9jLnhtbFBLAQItABQABgAIAAAAIQCsW/mw3gAAAAwBAAAP&#10;AAAAAAAAAAAAAAAAANAEAABkcnMvZG93bnJldi54bWxQSwUGAAAAAAQABADzAAAA2wUAAAAA&#10;" fillcolor="white [3212]" strokecolor="white [3212]" strokeweight="2pt"/>
            </w:pict>
          </mc:Fallback>
        </mc:AlternateContent>
      </w:r>
      <w:r w:rsidR="005E3806">
        <w:rPr>
          <w:noProof/>
        </w:rPr>
        <mc:AlternateContent>
          <mc:Choice Requires="wps">
            <w:drawing>
              <wp:anchor distT="0" distB="0" distL="114300" distR="114300" simplePos="0" relativeHeight="251760640" behindDoc="0" locked="0" layoutInCell="1" allowOverlap="1" wp14:anchorId="4E85EC99" wp14:editId="32D7792B">
                <wp:simplePos x="0" y="0"/>
                <wp:positionH relativeFrom="column">
                  <wp:posOffset>6298057</wp:posOffset>
                </wp:positionH>
                <wp:positionV relativeFrom="paragraph">
                  <wp:posOffset>110414</wp:posOffset>
                </wp:positionV>
                <wp:extent cx="1985670" cy="1484986"/>
                <wp:effectExtent l="0" t="0" r="0" b="1270"/>
                <wp:wrapNone/>
                <wp:docPr id="803085982" name="Text Box 1"/>
                <wp:cNvGraphicFramePr/>
                <a:graphic xmlns:a="http://schemas.openxmlformats.org/drawingml/2006/main">
                  <a:graphicData uri="http://schemas.microsoft.com/office/word/2010/wordprocessingShape">
                    <wps:wsp>
                      <wps:cNvSpPr txBox="1"/>
                      <wps:spPr>
                        <a:xfrm>
                          <a:off x="0" y="0"/>
                          <a:ext cx="1985670" cy="1484986"/>
                        </a:xfrm>
                        <a:prstGeom prst="rect">
                          <a:avLst/>
                        </a:prstGeom>
                        <a:solidFill>
                          <a:schemeClr val="bg1"/>
                        </a:solidFill>
                        <a:ln w="6350">
                          <a:noFill/>
                        </a:ln>
                      </wps:spPr>
                      <wps:txbx>
                        <w:txbxContent>
                          <w:p w14:paraId="09520450" w14:textId="77777777" w:rsidR="001E042C" w:rsidRPr="00A20109" w:rsidRDefault="001E042C" w:rsidP="00A20109">
                            <w:pPr>
                              <w:spacing w:after="0"/>
                              <w:rPr>
                                <w:sz w:val="10"/>
                                <w:szCs w:val="14"/>
                              </w:rPr>
                            </w:pPr>
                            <w:proofErr w:type="gramStart"/>
                            <w:r w:rsidRPr="00A20109">
                              <w:rPr>
                                <w:sz w:val="10"/>
                                <w:szCs w:val="14"/>
                              </w:rPr>
                              <w:t>A</w:t>
                            </w:r>
                            <w:proofErr w:type="gramEnd"/>
                            <w:r w:rsidRPr="00A20109">
                              <w:rPr>
                                <w:sz w:val="10"/>
                                <w:szCs w:val="14"/>
                              </w:rPr>
                              <w:tab/>
                              <w:t>Agriculture, forestry and fishing</w:t>
                            </w:r>
                          </w:p>
                          <w:p w14:paraId="2A7C1EEC" w14:textId="77777777" w:rsidR="001E042C" w:rsidRPr="00A20109" w:rsidRDefault="001E042C" w:rsidP="00A20109">
                            <w:pPr>
                              <w:spacing w:after="0"/>
                              <w:rPr>
                                <w:sz w:val="10"/>
                                <w:szCs w:val="14"/>
                              </w:rPr>
                            </w:pPr>
                            <w:r w:rsidRPr="00A20109">
                              <w:rPr>
                                <w:sz w:val="10"/>
                                <w:szCs w:val="14"/>
                              </w:rPr>
                              <w:t>O</w:t>
                            </w:r>
                            <w:r w:rsidRPr="00A20109">
                              <w:rPr>
                                <w:sz w:val="10"/>
                                <w:szCs w:val="14"/>
                              </w:rPr>
                              <w:tab/>
                              <w:t>Public administration and safety</w:t>
                            </w:r>
                          </w:p>
                          <w:p w14:paraId="76BAFD80" w14:textId="77777777" w:rsidR="001E042C" w:rsidRPr="00A20109" w:rsidRDefault="001E042C" w:rsidP="00A20109">
                            <w:pPr>
                              <w:spacing w:after="0"/>
                              <w:rPr>
                                <w:sz w:val="10"/>
                                <w:szCs w:val="14"/>
                              </w:rPr>
                            </w:pPr>
                            <w:r w:rsidRPr="00A20109">
                              <w:rPr>
                                <w:sz w:val="10"/>
                                <w:szCs w:val="14"/>
                              </w:rPr>
                              <w:t>E</w:t>
                            </w:r>
                            <w:r w:rsidRPr="00A20109">
                              <w:rPr>
                                <w:sz w:val="10"/>
                                <w:szCs w:val="14"/>
                              </w:rPr>
                              <w:tab/>
                              <w:t>Construction</w:t>
                            </w:r>
                          </w:p>
                          <w:p w14:paraId="7E9C196C" w14:textId="77777777" w:rsidR="001E042C" w:rsidRPr="00A20109" w:rsidRDefault="001E042C" w:rsidP="00A20109">
                            <w:pPr>
                              <w:spacing w:after="0"/>
                              <w:rPr>
                                <w:sz w:val="10"/>
                                <w:szCs w:val="14"/>
                              </w:rPr>
                            </w:pPr>
                            <w:r w:rsidRPr="00A20109">
                              <w:rPr>
                                <w:sz w:val="10"/>
                                <w:szCs w:val="14"/>
                              </w:rPr>
                              <w:t>R</w:t>
                            </w:r>
                            <w:r w:rsidRPr="00A20109">
                              <w:rPr>
                                <w:sz w:val="10"/>
                                <w:szCs w:val="14"/>
                              </w:rPr>
                              <w:tab/>
                              <w:t>Arts and recreation services</w:t>
                            </w:r>
                          </w:p>
                          <w:p w14:paraId="4588433D" w14:textId="77777777" w:rsidR="001E042C" w:rsidRPr="00A20109" w:rsidRDefault="001E042C" w:rsidP="00A20109">
                            <w:pPr>
                              <w:spacing w:after="0"/>
                              <w:rPr>
                                <w:sz w:val="10"/>
                                <w:szCs w:val="14"/>
                              </w:rPr>
                            </w:pPr>
                            <w:r w:rsidRPr="00A20109">
                              <w:rPr>
                                <w:sz w:val="10"/>
                                <w:szCs w:val="14"/>
                              </w:rPr>
                              <w:t>C</w:t>
                            </w:r>
                            <w:r w:rsidRPr="00A20109">
                              <w:rPr>
                                <w:sz w:val="10"/>
                                <w:szCs w:val="14"/>
                              </w:rPr>
                              <w:tab/>
                              <w:t>Manufacturing</w:t>
                            </w:r>
                          </w:p>
                          <w:p w14:paraId="17885082" w14:textId="77777777" w:rsidR="001E042C" w:rsidRPr="00A20109" w:rsidRDefault="001E042C" w:rsidP="00A20109">
                            <w:pPr>
                              <w:spacing w:after="0"/>
                              <w:rPr>
                                <w:sz w:val="10"/>
                                <w:szCs w:val="14"/>
                              </w:rPr>
                            </w:pPr>
                            <w:r w:rsidRPr="00A20109">
                              <w:rPr>
                                <w:sz w:val="10"/>
                                <w:szCs w:val="14"/>
                              </w:rPr>
                              <w:t>I</w:t>
                            </w:r>
                            <w:r w:rsidRPr="00A20109">
                              <w:rPr>
                                <w:sz w:val="10"/>
                                <w:szCs w:val="14"/>
                              </w:rPr>
                              <w:tab/>
                              <w:t>Transport, postal and warehousing</w:t>
                            </w:r>
                          </w:p>
                          <w:p w14:paraId="63853A6E" w14:textId="77777777" w:rsidR="001E042C" w:rsidRPr="00A20109" w:rsidRDefault="001E042C" w:rsidP="00A20109">
                            <w:pPr>
                              <w:spacing w:after="0"/>
                              <w:rPr>
                                <w:sz w:val="10"/>
                                <w:szCs w:val="14"/>
                              </w:rPr>
                            </w:pPr>
                            <w:r w:rsidRPr="00A20109">
                              <w:rPr>
                                <w:sz w:val="10"/>
                                <w:szCs w:val="14"/>
                              </w:rPr>
                              <w:t>Q</w:t>
                            </w:r>
                            <w:r w:rsidRPr="00A20109">
                              <w:rPr>
                                <w:sz w:val="10"/>
                                <w:szCs w:val="14"/>
                              </w:rPr>
                              <w:tab/>
                              <w:t>Health care and social assistance</w:t>
                            </w:r>
                          </w:p>
                          <w:p w14:paraId="091F7870" w14:textId="77777777" w:rsidR="001E042C" w:rsidRPr="00A20109" w:rsidRDefault="001E042C" w:rsidP="00A20109">
                            <w:pPr>
                              <w:spacing w:after="0"/>
                              <w:rPr>
                                <w:sz w:val="10"/>
                                <w:szCs w:val="14"/>
                              </w:rPr>
                            </w:pPr>
                            <w:r w:rsidRPr="00A20109">
                              <w:rPr>
                                <w:sz w:val="10"/>
                                <w:szCs w:val="14"/>
                              </w:rPr>
                              <w:t>F</w:t>
                            </w:r>
                            <w:r w:rsidRPr="00A20109">
                              <w:rPr>
                                <w:sz w:val="10"/>
                                <w:szCs w:val="14"/>
                              </w:rPr>
                              <w:tab/>
                              <w:t>Wholesale trade</w:t>
                            </w:r>
                          </w:p>
                          <w:p w14:paraId="175C1870" w14:textId="77777777" w:rsidR="001E042C" w:rsidRPr="00A20109" w:rsidRDefault="001E042C" w:rsidP="00A20109">
                            <w:pPr>
                              <w:spacing w:after="0"/>
                              <w:rPr>
                                <w:sz w:val="10"/>
                                <w:szCs w:val="14"/>
                              </w:rPr>
                            </w:pPr>
                            <w:r w:rsidRPr="00A20109">
                              <w:rPr>
                                <w:sz w:val="10"/>
                                <w:szCs w:val="14"/>
                              </w:rPr>
                              <w:t>H</w:t>
                            </w:r>
                            <w:r w:rsidRPr="00A20109">
                              <w:rPr>
                                <w:sz w:val="10"/>
                                <w:szCs w:val="14"/>
                              </w:rPr>
                              <w:tab/>
                              <w:t>Accommodation and food services</w:t>
                            </w:r>
                          </w:p>
                          <w:p w14:paraId="4322398F" w14:textId="77777777" w:rsidR="001E042C" w:rsidRPr="00A20109" w:rsidRDefault="001E042C" w:rsidP="00A20109">
                            <w:pPr>
                              <w:spacing w:after="0"/>
                              <w:rPr>
                                <w:sz w:val="10"/>
                                <w:szCs w:val="14"/>
                              </w:rPr>
                            </w:pPr>
                            <w:r w:rsidRPr="00A20109">
                              <w:rPr>
                                <w:sz w:val="10"/>
                                <w:szCs w:val="14"/>
                              </w:rPr>
                              <w:t>B</w:t>
                            </w:r>
                            <w:r w:rsidRPr="00A20109">
                              <w:rPr>
                                <w:sz w:val="10"/>
                                <w:szCs w:val="14"/>
                              </w:rPr>
                              <w:tab/>
                              <w:t>Mining</w:t>
                            </w:r>
                          </w:p>
                          <w:p w14:paraId="1306F79F" w14:textId="77777777" w:rsidR="001E042C" w:rsidRPr="00A20109" w:rsidRDefault="001E042C" w:rsidP="00A20109">
                            <w:pPr>
                              <w:spacing w:after="0"/>
                              <w:rPr>
                                <w:sz w:val="10"/>
                                <w:szCs w:val="14"/>
                              </w:rPr>
                            </w:pPr>
                            <w:r w:rsidRPr="00A20109">
                              <w:rPr>
                                <w:sz w:val="10"/>
                                <w:szCs w:val="14"/>
                              </w:rPr>
                              <w:t>G</w:t>
                            </w:r>
                            <w:r w:rsidRPr="00A20109">
                              <w:rPr>
                                <w:sz w:val="10"/>
                                <w:szCs w:val="14"/>
                              </w:rPr>
                              <w:tab/>
                              <w:t>Retail trade</w:t>
                            </w:r>
                          </w:p>
                          <w:p w14:paraId="0D564BFB" w14:textId="77777777" w:rsidR="001E042C" w:rsidRPr="00A20109" w:rsidRDefault="001E042C" w:rsidP="00A20109">
                            <w:pPr>
                              <w:spacing w:after="0"/>
                              <w:rPr>
                                <w:sz w:val="10"/>
                                <w:szCs w:val="14"/>
                              </w:rPr>
                            </w:pPr>
                            <w:r w:rsidRPr="00A20109">
                              <w:rPr>
                                <w:sz w:val="10"/>
                                <w:szCs w:val="14"/>
                              </w:rPr>
                              <w:t>D</w:t>
                            </w:r>
                            <w:r w:rsidRPr="00A20109">
                              <w:rPr>
                                <w:sz w:val="10"/>
                                <w:szCs w:val="14"/>
                              </w:rPr>
                              <w:tab/>
                              <w:t xml:space="preserve">Electricity, gas, </w:t>
                            </w:r>
                            <w:proofErr w:type="gramStart"/>
                            <w:r w:rsidRPr="00A20109">
                              <w:rPr>
                                <w:sz w:val="10"/>
                                <w:szCs w:val="14"/>
                              </w:rPr>
                              <w:t>water</w:t>
                            </w:r>
                            <w:proofErr w:type="gramEnd"/>
                            <w:r w:rsidRPr="00A20109">
                              <w:rPr>
                                <w:sz w:val="10"/>
                                <w:szCs w:val="14"/>
                              </w:rPr>
                              <w:t xml:space="preserve"> and waste services</w:t>
                            </w:r>
                          </w:p>
                          <w:p w14:paraId="42AD9F05" w14:textId="77777777" w:rsidR="001E042C" w:rsidRPr="00A20109" w:rsidRDefault="001E042C" w:rsidP="00A20109">
                            <w:pPr>
                              <w:spacing w:after="0"/>
                              <w:rPr>
                                <w:sz w:val="10"/>
                                <w:szCs w:val="14"/>
                              </w:rPr>
                            </w:pPr>
                            <w:r w:rsidRPr="00A20109">
                              <w:rPr>
                                <w:sz w:val="10"/>
                                <w:szCs w:val="14"/>
                              </w:rPr>
                              <w:t>S</w:t>
                            </w:r>
                            <w:r w:rsidRPr="00A20109">
                              <w:rPr>
                                <w:sz w:val="10"/>
                                <w:szCs w:val="14"/>
                              </w:rPr>
                              <w:tab/>
                              <w:t>Other services</w:t>
                            </w:r>
                          </w:p>
                          <w:p w14:paraId="19BA5D8F" w14:textId="77777777" w:rsidR="001E042C" w:rsidRPr="00A20109" w:rsidRDefault="001E042C" w:rsidP="00A20109">
                            <w:pPr>
                              <w:spacing w:after="0"/>
                              <w:rPr>
                                <w:sz w:val="10"/>
                                <w:szCs w:val="14"/>
                              </w:rPr>
                            </w:pPr>
                            <w:r w:rsidRPr="00A20109">
                              <w:rPr>
                                <w:sz w:val="10"/>
                                <w:szCs w:val="14"/>
                              </w:rPr>
                              <w:t>P</w:t>
                            </w:r>
                            <w:r w:rsidRPr="00A20109">
                              <w:rPr>
                                <w:sz w:val="10"/>
                                <w:szCs w:val="14"/>
                              </w:rPr>
                              <w:tab/>
                              <w:t>Education and training</w:t>
                            </w:r>
                          </w:p>
                          <w:p w14:paraId="1DA3E927" w14:textId="77777777" w:rsidR="001E042C" w:rsidRPr="00A20109" w:rsidRDefault="001E042C" w:rsidP="00A20109">
                            <w:pPr>
                              <w:spacing w:after="0"/>
                              <w:rPr>
                                <w:sz w:val="10"/>
                                <w:szCs w:val="14"/>
                              </w:rPr>
                            </w:pPr>
                            <w:r w:rsidRPr="00A20109">
                              <w:rPr>
                                <w:sz w:val="10"/>
                                <w:szCs w:val="14"/>
                              </w:rPr>
                              <w:t>N</w:t>
                            </w:r>
                            <w:r w:rsidRPr="00A20109">
                              <w:rPr>
                                <w:sz w:val="10"/>
                                <w:szCs w:val="14"/>
                              </w:rPr>
                              <w:tab/>
                              <w:t>Administrative and support services</w:t>
                            </w:r>
                          </w:p>
                          <w:p w14:paraId="34344B78" w14:textId="77777777" w:rsidR="001E042C" w:rsidRPr="00A20109" w:rsidRDefault="001E042C" w:rsidP="00A20109">
                            <w:pPr>
                              <w:spacing w:after="0"/>
                              <w:rPr>
                                <w:sz w:val="10"/>
                                <w:szCs w:val="14"/>
                              </w:rPr>
                            </w:pPr>
                            <w:r w:rsidRPr="00A20109">
                              <w:rPr>
                                <w:sz w:val="10"/>
                                <w:szCs w:val="14"/>
                              </w:rPr>
                              <w:t>L</w:t>
                            </w:r>
                            <w:r w:rsidRPr="00A20109">
                              <w:rPr>
                                <w:sz w:val="10"/>
                                <w:szCs w:val="14"/>
                              </w:rPr>
                              <w:tab/>
                              <w:t>Rental, hiring and real estate services</w:t>
                            </w:r>
                          </w:p>
                          <w:p w14:paraId="55400D50" w14:textId="77777777" w:rsidR="001E042C" w:rsidRPr="00A20109" w:rsidRDefault="001E042C" w:rsidP="00A20109">
                            <w:pPr>
                              <w:spacing w:after="0"/>
                              <w:rPr>
                                <w:sz w:val="10"/>
                                <w:szCs w:val="14"/>
                              </w:rPr>
                            </w:pPr>
                            <w:r w:rsidRPr="00A20109">
                              <w:rPr>
                                <w:sz w:val="10"/>
                                <w:szCs w:val="14"/>
                              </w:rPr>
                              <w:t>J</w:t>
                            </w:r>
                            <w:r w:rsidRPr="00A20109">
                              <w:rPr>
                                <w:sz w:val="10"/>
                                <w:szCs w:val="14"/>
                              </w:rPr>
                              <w:tab/>
                              <w:t>Information media and telecommunications</w:t>
                            </w:r>
                          </w:p>
                          <w:p w14:paraId="154BA449" w14:textId="77777777" w:rsidR="001E042C" w:rsidRPr="00A20109" w:rsidRDefault="001E042C" w:rsidP="00A20109">
                            <w:pPr>
                              <w:spacing w:after="0"/>
                              <w:rPr>
                                <w:sz w:val="10"/>
                                <w:szCs w:val="14"/>
                              </w:rPr>
                            </w:pPr>
                            <w:r w:rsidRPr="00A20109">
                              <w:rPr>
                                <w:sz w:val="10"/>
                                <w:szCs w:val="14"/>
                              </w:rPr>
                              <w:t>M</w:t>
                            </w:r>
                            <w:r w:rsidRPr="00A20109">
                              <w:rPr>
                                <w:sz w:val="10"/>
                                <w:szCs w:val="14"/>
                              </w:rPr>
                              <w:tab/>
                              <w:t xml:space="preserve">Professional, </w:t>
                            </w:r>
                            <w:proofErr w:type="gramStart"/>
                            <w:r w:rsidRPr="00A20109">
                              <w:rPr>
                                <w:sz w:val="10"/>
                                <w:szCs w:val="14"/>
                              </w:rPr>
                              <w:t>scientific</w:t>
                            </w:r>
                            <w:proofErr w:type="gramEnd"/>
                            <w:r w:rsidRPr="00A20109">
                              <w:rPr>
                                <w:sz w:val="10"/>
                                <w:szCs w:val="14"/>
                              </w:rPr>
                              <w:t xml:space="preserve"> and technical services</w:t>
                            </w:r>
                          </w:p>
                          <w:p w14:paraId="0AB6201A" w14:textId="11EA3F6B" w:rsidR="001E042C" w:rsidRPr="00A20109" w:rsidRDefault="001E042C" w:rsidP="00A20109">
                            <w:pPr>
                              <w:spacing w:after="0"/>
                              <w:rPr>
                                <w:sz w:val="10"/>
                                <w:szCs w:val="14"/>
                              </w:rPr>
                            </w:pPr>
                            <w:r w:rsidRPr="00A20109">
                              <w:rPr>
                                <w:sz w:val="10"/>
                                <w:szCs w:val="14"/>
                              </w:rPr>
                              <w:t>K</w:t>
                            </w:r>
                            <w:r w:rsidRPr="00A20109">
                              <w:rPr>
                                <w:sz w:val="10"/>
                                <w:szCs w:val="14"/>
                              </w:rPr>
                              <w:tab/>
                              <w:t>Financial and insurance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5EC99" id="Text Box 1" o:spid="_x0000_s1028" type="#_x0000_t202" style="position:absolute;left:0;text-align:left;margin-left:495.9pt;margin-top:8.7pt;width:156.35pt;height:116.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WoMgIAAFwEAAAOAAAAZHJzL2Uyb0RvYy54bWysVE2P2jAQvVfqf7B8LwEKLESEFWVFVWm1&#10;uxJb7dk4NrHkeFzbkNBf37HDV7c9Vb04Y8/4eebNm8zv21qTg3BegSnooNenRBgOpTK7gn5/XX+a&#10;UuIDMyXTYERBj8LT+8XHD/PG5mIIFehSOIIgxueNLWgVgs2zzPNK1Mz3wAqDTgmuZgG3bpeVjjWI&#10;Xuts2O9PsgZcaR1w4T2ePnROukj4UgoenqX0IhBdUMwtpNWldRvXbDFn+c4xWyl+SoP9QxY1UwYf&#10;vUA9sMDI3qk/oGrFHXiQocehzkBKxUWqAasZ9N9Vs6mYFakWJMfbC03+/8Hyp8PGvjgS2i/QYgMj&#10;IY31ucfDWE8rXR2/mClBP1J4vNAm2kB4vDSbjid36OLoG4ymo9l0EnGy63XrfPgqoCbRKKjDviS6&#10;2OHRhy70HBJf86BVuVZap03UglhpRw4Mu7jdpSQR/LcobUhT0MnncT8BG4jXO2RtMJdrUdEK7bYl&#10;qizo8FzwFsoj8uCgk4i3fK0w10fmwwtzqAmsD3UennGRGvAtOFmUVOB+/u08xmOr0EtJgxorqP+x&#10;Z05Qor8ZbOJsMBpFUabNaHw3xI279WxvPWZfrwAJGOBEWZ7MGB/02ZQO6jcch2V8FV3McHy7oOFs&#10;rkKnfBwnLpbLFIQytCw8mo3lEToSHjvx2r4xZ0/tCtjpJzirkeXvutbFxpsGlvsAUqWWRp47Vk/0&#10;o4STKE7jFmfkdp+irj+FxS8AAAD//wMAUEsDBBQABgAIAAAAIQCmWzub3wAAAAsBAAAPAAAAZHJz&#10;L2Rvd25yZXYueG1sTI9BT4NAFITvJv6HzTPxZhfaoi2yNNXYsxE8eNyyr4Bl3xJ22yK/3teTHicz&#10;mfkm24y2E2ccfOtIQTyLQCBVzrRUK/gsdw8rED5oMrpzhAp+0MMmv73JdGrchT7wXIRacAn5VCto&#10;QuhTKX3VoNV+5nok9g5usDqwHGppBn3hctvJeRQ9Sqtb4oVG9/jaYHUsTpZ3Xfl2nLZBlrsKixeT&#10;TN/vX5NS93fj9hlEwDH8heGKz+iQM9Pench40SlYr2NGD2w8LUFcA4tomYDYK5gn8QJknsn/H/Jf&#10;AAAA//8DAFBLAQItABQABgAIAAAAIQC2gziS/gAAAOEBAAATAAAAAAAAAAAAAAAAAAAAAABbQ29u&#10;dGVudF9UeXBlc10ueG1sUEsBAi0AFAAGAAgAAAAhADj9If/WAAAAlAEAAAsAAAAAAAAAAAAAAAAA&#10;LwEAAF9yZWxzLy5yZWxzUEsBAi0AFAAGAAgAAAAhAIqHVagyAgAAXAQAAA4AAAAAAAAAAAAAAAAA&#10;LgIAAGRycy9lMm9Eb2MueG1sUEsBAi0AFAAGAAgAAAAhAKZbO5vfAAAACwEAAA8AAAAAAAAAAAAA&#10;AAAAjAQAAGRycy9kb3ducmV2LnhtbFBLBQYAAAAABAAEAPMAAACYBQAAAAA=&#10;" fillcolor="white [3212]" stroked="f" strokeweight=".5pt">
                <v:textbox>
                  <w:txbxContent>
                    <w:p w14:paraId="09520450" w14:textId="77777777" w:rsidR="001E042C" w:rsidRPr="00A20109" w:rsidRDefault="001E042C" w:rsidP="00A20109">
                      <w:pPr>
                        <w:spacing w:after="0"/>
                        <w:rPr>
                          <w:sz w:val="10"/>
                          <w:szCs w:val="14"/>
                        </w:rPr>
                      </w:pPr>
                      <w:proofErr w:type="gramStart"/>
                      <w:r w:rsidRPr="00A20109">
                        <w:rPr>
                          <w:sz w:val="10"/>
                          <w:szCs w:val="14"/>
                        </w:rPr>
                        <w:t>A</w:t>
                      </w:r>
                      <w:proofErr w:type="gramEnd"/>
                      <w:r w:rsidRPr="00A20109">
                        <w:rPr>
                          <w:sz w:val="10"/>
                          <w:szCs w:val="14"/>
                        </w:rPr>
                        <w:tab/>
                        <w:t>Agriculture, forestry and fishing</w:t>
                      </w:r>
                    </w:p>
                    <w:p w14:paraId="2A7C1EEC" w14:textId="77777777" w:rsidR="001E042C" w:rsidRPr="00A20109" w:rsidRDefault="001E042C" w:rsidP="00A20109">
                      <w:pPr>
                        <w:spacing w:after="0"/>
                        <w:rPr>
                          <w:sz w:val="10"/>
                          <w:szCs w:val="14"/>
                        </w:rPr>
                      </w:pPr>
                      <w:r w:rsidRPr="00A20109">
                        <w:rPr>
                          <w:sz w:val="10"/>
                          <w:szCs w:val="14"/>
                        </w:rPr>
                        <w:t>O</w:t>
                      </w:r>
                      <w:r w:rsidRPr="00A20109">
                        <w:rPr>
                          <w:sz w:val="10"/>
                          <w:szCs w:val="14"/>
                        </w:rPr>
                        <w:tab/>
                        <w:t>Public administration and safety</w:t>
                      </w:r>
                    </w:p>
                    <w:p w14:paraId="76BAFD80" w14:textId="77777777" w:rsidR="001E042C" w:rsidRPr="00A20109" w:rsidRDefault="001E042C" w:rsidP="00A20109">
                      <w:pPr>
                        <w:spacing w:after="0"/>
                        <w:rPr>
                          <w:sz w:val="10"/>
                          <w:szCs w:val="14"/>
                        </w:rPr>
                      </w:pPr>
                      <w:r w:rsidRPr="00A20109">
                        <w:rPr>
                          <w:sz w:val="10"/>
                          <w:szCs w:val="14"/>
                        </w:rPr>
                        <w:t>E</w:t>
                      </w:r>
                      <w:r w:rsidRPr="00A20109">
                        <w:rPr>
                          <w:sz w:val="10"/>
                          <w:szCs w:val="14"/>
                        </w:rPr>
                        <w:tab/>
                        <w:t>Construction</w:t>
                      </w:r>
                    </w:p>
                    <w:p w14:paraId="7E9C196C" w14:textId="77777777" w:rsidR="001E042C" w:rsidRPr="00A20109" w:rsidRDefault="001E042C" w:rsidP="00A20109">
                      <w:pPr>
                        <w:spacing w:after="0"/>
                        <w:rPr>
                          <w:sz w:val="10"/>
                          <w:szCs w:val="14"/>
                        </w:rPr>
                      </w:pPr>
                      <w:r w:rsidRPr="00A20109">
                        <w:rPr>
                          <w:sz w:val="10"/>
                          <w:szCs w:val="14"/>
                        </w:rPr>
                        <w:t>R</w:t>
                      </w:r>
                      <w:r w:rsidRPr="00A20109">
                        <w:rPr>
                          <w:sz w:val="10"/>
                          <w:szCs w:val="14"/>
                        </w:rPr>
                        <w:tab/>
                        <w:t>Arts and recreation services</w:t>
                      </w:r>
                    </w:p>
                    <w:p w14:paraId="4588433D" w14:textId="77777777" w:rsidR="001E042C" w:rsidRPr="00A20109" w:rsidRDefault="001E042C" w:rsidP="00A20109">
                      <w:pPr>
                        <w:spacing w:after="0"/>
                        <w:rPr>
                          <w:sz w:val="10"/>
                          <w:szCs w:val="14"/>
                        </w:rPr>
                      </w:pPr>
                      <w:r w:rsidRPr="00A20109">
                        <w:rPr>
                          <w:sz w:val="10"/>
                          <w:szCs w:val="14"/>
                        </w:rPr>
                        <w:t>C</w:t>
                      </w:r>
                      <w:r w:rsidRPr="00A20109">
                        <w:rPr>
                          <w:sz w:val="10"/>
                          <w:szCs w:val="14"/>
                        </w:rPr>
                        <w:tab/>
                        <w:t>Manufacturing</w:t>
                      </w:r>
                    </w:p>
                    <w:p w14:paraId="17885082" w14:textId="77777777" w:rsidR="001E042C" w:rsidRPr="00A20109" w:rsidRDefault="001E042C" w:rsidP="00A20109">
                      <w:pPr>
                        <w:spacing w:after="0"/>
                        <w:rPr>
                          <w:sz w:val="10"/>
                          <w:szCs w:val="14"/>
                        </w:rPr>
                      </w:pPr>
                      <w:r w:rsidRPr="00A20109">
                        <w:rPr>
                          <w:sz w:val="10"/>
                          <w:szCs w:val="14"/>
                        </w:rPr>
                        <w:t>I</w:t>
                      </w:r>
                      <w:r w:rsidRPr="00A20109">
                        <w:rPr>
                          <w:sz w:val="10"/>
                          <w:szCs w:val="14"/>
                        </w:rPr>
                        <w:tab/>
                        <w:t>Transport, postal and warehousing</w:t>
                      </w:r>
                    </w:p>
                    <w:p w14:paraId="63853A6E" w14:textId="77777777" w:rsidR="001E042C" w:rsidRPr="00A20109" w:rsidRDefault="001E042C" w:rsidP="00A20109">
                      <w:pPr>
                        <w:spacing w:after="0"/>
                        <w:rPr>
                          <w:sz w:val="10"/>
                          <w:szCs w:val="14"/>
                        </w:rPr>
                      </w:pPr>
                      <w:r w:rsidRPr="00A20109">
                        <w:rPr>
                          <w:sz w:val="10"/>
                          <w:szCs w:val="14"/>
                        </w:rPr>
                        <w:t>Q</w:t>
                      </w:r>
                      <w:r w:rsidRPr="00A20109">
                        <w:rPr>
                          <w:sz w:val="10"/>
                          <w:szCs w:val="14"/>
                        </w:rPr>
                        <w:tab/>
                        <w:t>Health care and social assistance</w:t>
                      </w:r>
                    </w:p>
                    <w:p w14:paraId="091F7870" w14:textId="77777777" w:rsidR="001E042C" w:rsidRPr="00A20109" w:rsidRDefault="001E042C" w:rsidP="00A20109">
                      <w:pPr>
                        <w:spacing w:after="0"/>
                        <w:rPr>
                          <w:sz w:val="10"/>
                          <w:szCs w:val="14"/>
                        </w:rPr>
                      </w:pPr>
                      <w:r w:rsidRPr="00A20109">
                        <w:rPr>
                          <w:sz w:val="10"/>
                          <w:szCs w:val="14"/>
                        </w:rPr>
                        <w:t>F</w:t>
                      </w:r>
                      <w:r w:rsidRPr="00A20109">
                        <w:rPr>
                          <w:sz w:val="10"/>
                          <w:szCs w:val="14"/>
                        </w:rPr>
                        <w:tab/>
                        <w:t>Wholesale trade</w:t>
                      </w:r>
                    </w:p>
                    <w:p w14:paraId="175C1870" w14:textId="77777777" w:rsidR="001E042C" w:rsidRPr="00A20109" w:rsidRDefault="001E042C" w:rsidP="00A20109">
                      <w:pPr>
                        <w:spacing w:after="0"/>
                        <w:rPr>
                          <w:sz w:val="10"/>
                          <w:szCs w:val="14"/>
                        </w:rPr>
                      </w:pPr>
                      <w:r w:rsidRPr="00A20109">
                        <w:rPr>
                          <w:sz w:val="10"/>
                          <w:szCs w:val="14"/>
                        </w:rPr>
                        <w:t>H</w:t>
                      </w:r>
                      <w:r w:rsidRPr="00A20109">
                        <w:rPr>
                          <w:sz w:val="10"/>
                          <w:szCs w:val="14"/>
                        </w:rPr>
                        <w:tab/>
                        <w:t>Accommodation and food services</w:t>
                      </w:r>
                    </w:p>
                    <w:p w14:paraId="4322398F" w14:textId="77777777" w:rsidR="001E042C" w:rsidRPr="00A20109" w:rsidRDefault="001E042C" w:rsidP="00A20109">
                      <w:pPr>
                        <w:spacing w:after="0"/>
                        <w:rPr>
                          <w:sz w:val="10"/>
                          <w:szCs w:val="14"/>
                        </w:rPr>
                      </w:pPr>
                      <w:r w:rsidRPr="00A20109">
                        <w:rPr>
                          <w:sz w:val="10"/>
                          <w:szCs w:val="14"/>
                        </w:rPr>
                        <w:t>B</w:t>
                      </w:r>
                      <w:r w:rsidRPr="00A20109">
                        <w:rPr>
                          <w:sz w:val="10"/>
                          <w:szCs w:val="14"/>
                        </w:rPr>
                        <w:tab/>
                        <w:t>Mining</w:t>
                      </w:r>
                    </w:p>
                    <w:p w14:paraId="1306F79F" w14:textId="77777777" w:rsidR="001E042C" w:rsidRPr="00A20109" w:rsidRDefault="001E042C" w:rsidP="00A20109">
                      <w:pPr>
                        <w:spacing w:after="0"/>
                        <w:rPr>
                          <w:sz w:val="10"/>
                          <w:szCs w:val="14"/>
                        </w:rPr>
                      </w:pPr>
                      <w:r w:rsidRPr="00A20109">
                        <w:rPr>
                          <w:sz w:val="10"/>
                          <w:szCs w:val="14"/>
                        </w:rPr>
                        <w:t>G</w:t>
                      </w:r>
                      <w:r w:rsidRPr="00A20109">
                        <w:rPr>
                          <w:sz w:val="10"/>
                          <w:szCs w:val="14"/>
                        </w:rPr>
                        <w:tab/>
                        <w:t>Retail trade</w:t>
                      </w:r>
                    </w:p>
                    <w:p w14:paraId="0D564BFB" w14:textId="77777777" w:rsidR="001E042C" w:rsidRPr="00A20109" w:rsidRDefault="001E042C" w:rsidP="00A20109">
                      <w:pPr>
                        <w:spacing w:after="0"/>
                        <w:rPr>
                          <w:sz w:val="10"/>
                          <w:szCs w:val="14"/>
                        </w:rPr>
                      </w:pPr>
                      <w:r w:rsidRPr="00A20109">
                        <w:rPr>
                          <w:sz w:val="10"/>
                          <w:szCs w:val="14"/>
                        </w:rPr>
                        <w:t>D</w:t>
                      </w:r>
                      <w:r w:rsidRPr="00A20109">
                        <w:rPr>
                          <w:sz w:val="10"/>
                          <w:szCs w:val="14"/>
                        </w:rPr>
                        <w:tab/>
                        <w:t xml:space="preserve">Electricity, gas, </w:t>
                      </w:r>
                      <w:proofErr w:type="gramStart"/>
                      <w:r w:rsidRPr="00A20109">
                        <w:rPr>
                          <w:sz w:val="10"/>
                          <w:szCs w:val="14"/>
                        </w:rPr>
                        <w:t>water</w:t>
                      </w:r>
                      <w:proofErr w:type="gramEnd"/>
                      <w:r w:rsidRPr="00A20109">
                        <w:rPr>
                          <w:sz w:val="10"/>
                          <w:szCs w:val="14"/>
                        </w:rPr>
                        <w:t xml:space="preserve"> and waste services</w:t>
                      </w:r>
                    </w:p>
                    <w:p w14:paraId="42AD9F05" w14:textId="77777777" w:rsidR="001E042C" w:rsidRPr="00A20109" w:rsidRDefault="001E042C" w:rsidP="00A20109">
                      <w:pPr>
                        <w:spacing w:after="0"/>
                        <w:rPr>
                          <w:sz w:val="10"/>
                          <w:szCs w:val="14"/>
                        </w:rPr>
                      </w:pPr>
                      <w:r w:rsidRPr="00A20109">
                        <w:rPr>
                          <w:sz w:val="10"/>
                          <w:szCs w:val="14"/>
                        </w:rPr>
                        <w:t>S</w:t>
                      </w:r>
                      <w:r w:rsidRPr="00A20109">
                        <w:rPr>
                          <w:sz w:val="10"/>
                          <w:szCs w:val="14"/>
                        </w:rPr>
                        <w:tab/>
                        <w:t>Other services</w:t>
                      </w:r>
                    </w:p>
                    <w:p w14:paraId="19BA5D8F" w14:textId="77777777" w:rsidR="001E042C" w:rsidRPr="00A20109" w:rsidRDefault="001E042C" w:rsidP="00A20109">
                      <w:pPr>
                        <w:spacing w:after="0"/>
                        <w:rPr>
                          <w:sz w:val="10"/>
                          <w:szCs w:val="14"/>
                        </w:rPr>
                      </w:pPr>
                      <w:r w:rsidRPr="00A20109">
                        <w:rPr>
                          <w:sz w:val="10"/>
                          <w:szCs w:val="14"/>
                        </w:rPr>
                        <w:t>P</w:t>
                      </w:r>
                      <w:r w:rsidRPr="00A20109">
                        <w:rPr>
                          <w:sz w:val="10"/>
                          <w:szCs w:val="14"/>
                        </w:rPr>
                        <w:tab/>
                        <w:t>Education and training</w:t>
                      </w:r>
                    </w:p>
                    <w:p w14:paraId="1DA3E927" w14:textId="77777777" w:rsidR="001E042C" w:rsidRPr="00A20109" w:rsidRDefault="001E042C" w:rsidP="00A20109">
                      <w:pPr>
                        <w:spacing w:after="0"/>
                        <w:rPr>
                          <w:sz w:val="10"/>
                          <w:szCs w:val="14"/>
                        </w:rPr>
                      </w:pPr>
                      <w:r w:rsidRPr="00A20109">
                        <w:rPr>
                          <w:sz w:val="10"/>
                          <w:szCs w:val="14"/>
                        </w:rPr>
                        <w:t>N</w:t>
                      </w:r>
                      <w:r w:rsidRPr="00A20109">
                        <w:rPr>
                          <w:sz w:val="10"/>
                          <w:szCs w:val="14"/>
                        </w:rPr>
                        <w:tab/>
                        <w:t>Administrative and support services</w:t>
                      </w:r>
                    </w:p>
                    <w:p w14:paraId="34344B78" w14:textId="77777777" w:rsidR="001E042C" w:rsidRPr="00A20109" w:rsidRDefault="001E042C" w:rsidP="00A20109">
                      <w:pPr>
                        <w:spacing w:after="0"/>
                        <w:rPr>
                          <w:sz w:val="10"/>
                          <w:szCs w:val="14"/>
                        </w:rPr>
                      </w:pPr>
                      <w:r w:rsidRPr="00A20109">
                        <w:rPr>
                          <w:sz w:val="10"/>
                          <w:szCs w:val="14"/>
                        </w:rPr>
                        <w:t>L</w:t>
                      </w:r>
                      <w:r w:rsidRPr="00A20109">
                        <w:rPr>
                          <w:sz w:val="10"/>
                          <w:szCs w:val="14"/>
                        </w:rPr>
                        <w:tab/>
                        <w:t>Rental, hiring and real estate services</w:t>
                      </w:r>
                    </w:p>
                    <w:p w14:paraId="55400D50" w14:textId="77777777" w:rsidR="001E042C" w:rsidRPr="00A20109" w:rsidRDefault="001E042C" w:rsidP="00A20109">
                      <w:pPr>
                        <w:spacing w:after="0"/>
                        <w:rPr>
                          <w:sz w:val="10"/>
                          <w:szCs w:val="14"/>
                        </w:rPr>
                      </w:pPr>
                      <w:r w:rsidRPr="00A20109">
                        <w:rPr>
                          <w:sz w:val="10"/>
                          <w:szCs w:val="14"/>
                        </w:rPr>
                        <w:t>J</w:t>
                      </w:r>
                      <w:r w:rsidRPr="00A20109">
                        <w:rPr>
                          <w:sz w:val="10"/>
                          <w:szCs w:val="14"/>
                        </w:rPr>
                        <w:tab/>
                        <w:t>Information media and telecommunications</w:t>
                      </w:r>
                    </w:p>
                    <w:p w14:paraId="154BA449" w14:textId="77777777" w:rsidR="001E042C" w:rsidRPr="00A20109" w:rsidRDefault="001E042C" w:rsidP="00A20109">
                      <w:pPr>
                        <w:spacing w:after="0"/>
                        <w:rPr>
                          <w:sz w:val="10"/>
                          <w:szCs w:val="14"/>
                        </w:rPr>
                      </w:pPr>
                      <w:r w:rsidRPr="00A20109">
                        <w:rPr>
                          <w:sz w:val="10"/>
                          <w:szCs w:val="14"/>
                        </w:rPr>
                        <w:t>M</w:t>
                      </w:r>
                      <w:r w:rsidRPr="00A20109">
                        <w:rPr>
                          <w:sz w:val="10"/>
                          <w:szCs w:val="14"/>
                        </w:rPr>
                        <w:tab/>
                        <w:t xml:space="preserve">Professional, </w:t>
                      </w:r>
                      <w:proofErr w:type="gramStart"/>
                      <w:r w:rsidRPr="00A20109">
                        <w:rPr>
                          <w:sz w:val="10"/>
                          <w:szCs w:val="14"/>
                        </w:rPr>
                        <w:t>scientific</w:t>
                      </w:r>
                      <w:proofErr w:type="gramEnd"/>
                      <w:r w:rsidRPr="00A20109">
                        <w:rPr>
                          <w:sz w:val="10"/>
                          <w:szCs w:val="14"/>
                        </w:rPr>
                        <w:t xml:space="preserve"> and technical services</w:t>
                      </w:r>
                    </w:p>
                    <w:p w14:paraId="0AB6201A" w14:textId="11EA3F6B" w:rsidR="001E042C" w:rsidRPr="00A20109" w:rsidRDefault="001E042C" w:rsidP="00A20109">
                      <w:pPr>
                        <w:spacing w:after="0"/>
                        <w:rPr>
                          <w:sz w:val="10"/>
                          <w:szCs w:val="14"/>
                        </w:rPr>
                      </w:pPr>
                      <w:r w:rsidRPr="00A20109">
                        <w:rPr>
                          <w:sz w:val="10"/>
                          <w:szCs w:val="14"/>
                        </w:rPr>
                        <w:t>K</w:t>
                      </w:r>
                      <w:r w:rsidRPr="00A20109">
                        <w:rPr>
                          <w:sz w:val="10"/>
                          <w:szCs w:val="14"/>
                        </w:rPr>
                        <w:tab/>
                        <w:t>Financial and insurance services</w:t>
                      </w:r>
                    </w:p>
                  </w:txbxContent>
                </v:textbox>
              </v:shape>
            </w:pict>
          </mc:Fallback>
        </mc:AlternateContent>
      </w:r>
      <w:r w:rsidR="005E3806">
        <w:rPr>
          <w:noProof/>
        </w:rPr>
        <mc:AlternateContent>
          <mc:Choice Requires="wps">
            <w:drawing>
              <wp:anchor distT="0" distB="0" distL="114300" distR="114300" simplePos="0" relativeHeight="251759616" behindDoc="0" locked="0" layoutInCell="1" allowOverlap="1" wp14:anchorId="19BF71B2" wp14:editId="675ABD31">
                <wp:simplePos x="0" y="0"/>
                <wp:positionH relativeFrom="column">
                  <wp:posOffset>6283757</wp:posOffset>
                </wp:positionH>
                <wp:positionV relativeFrom="paragraph">
                  <wp:posOffset>579247</wp:posOffset>
                </wp:positionV>
                <wp:extent cx="1991995" cy="768096"/>
                <wp:effectExtent l="0" t="0" r="8255" b="0"/>
                <wp:wrapNone/>
                <wp:docPr id="1490109658" name="Rectangle 3"/>
                <wp:cNvGraphicFramePr/>
                <a:graphic xmlns:a="http://schemas.openxmlformats.org/drawingml/2006/main">
                  <a:graphicData uri="http://schemas.microsoft.com/office/word/2010/wordprocessingShape">
                    <wps:wsp>
                      <wps:cNvSpPr/>
                      <wps:spPr>
                        <a:xfrm>
                          <a:off x="0" y="0"/>
                          <a:ext cx="1991995" cy="76809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F0434" id="Rectangle 3" o:spid="_x0000_s1026" style="position:absolute;margin-left:494.8pt;margin-top:45.6pt;width:156.85pt;height:6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JcewIAAF4FAAAOAAAAZHJzL2Uyb0RvYy54bWysVN9r2zAQfh/sfxB6X22H/kqoU0JLx6C0&#10;ZenosyJLsUHWaSclTvbX7yQ7TtuVPYxBUCTd3Xd3n7/T1fWuNWyr0DdgS16c5JwpK6Fq7LrkP57v&#10;vlxy5oOwlTBgVcn3yvPr+edPV52bqQnUYCqFjECsn3Wu5HUIbpZlXtaqFf4EnLJk1ICtCHTEdVah&#10;6Ai9Ndkkz8+zDrByCFJ5T7e3vZHPE77WSoZHrb0KzJScagtpxbSu4prNr8RsjcLVjRzKEP9QRSsa&#10;S0lHqFsRBNtg8wdU20gEDzqcSGgz0LqRKvVA3RT5u26WtXAq9ULkeDfS5P8frHzYLt0TEg2d8zNP&#10;29jFTmMb/6k+tktk7Uey1C4wSZfFdEq/M84k2S7OL/PpeWQzO0Y79OGrgpbFTcmRPkbiSGzvfehd&#10;Dy4xmQfTVHeNMekQBaBuDLKtoE+3WhcD+BsvY6OvhRjVA8ab7NhK2oW9UdHP2O9Ks6ai4iepkKSy&#10;YxIhpbKh6E21qFSfuzjL8yQUam2MSI0mwIisKf+IPQC8beCA3Vc5+MdQlUQ6Bud/K6wPHiNSZrBh&#10;DG4bC/gRgKGuhsy9/4GknprI0gqq/RMyhH5EvJN3DX22e+HDk0CaCZoemvPwSIs20JUchh1nNeCv&#10;j+6jP0mVrJx1NGMl9z83AhVn5pslEU+L09M4lOlwenYxoQO+tqxeW+ymvQHSQkEvipNpG/2DOWw1&#10;QvtCz8EiZiWTsJJyl1wGPBxuQj/79KBItVgkNxpEJ8K9XToZwSOrUZbPuxeBbtBuINU/wGEexeyd&#10;hHvfGGlhsQmgm6TvI68D3zTESTjDgxNfidfn5HV8Fue/AQAA//8DAFBLAwQUAAYACAAAACEArKwu&#10;T+AAAAALAQAADwAAAGRycy9kb3ducmV2LnhtbEyPy07DMBBF90j8gzVI7KgdR32lcSqEoAJ2FMLa&#10;jadJRDwOsdOGv8ddwW5Gc3Tn3Hw72Y6dcPCtIwXJTABDqpxpqVbw8f50twLmgyajO0eo4Ac9bIvr&#10;q1xnxp3pDU/7ULMYQj7TCpoQ+oxzXzVotZ+5Hinejm6wOsR1qLkZ9DmG245LIRbc6pbih0b3+NBg&#10;9bUfrYJxvnx5nD6/d2kpyuVr2c2fw65X6vZmut8ACziFPxgu+lEdiuh0cCMZzzoF69V6EdE4JBLY&#10;BUhFmgI7KJCJlMCLnP/vUPwCAAD//wMAUEsBAi0AFAAGAAgAAAAhALaDOJL+AAAA4QEAABMAAAAA&#10;AAAAAAAAAAAAAAAAAFtDb250ZW50X1R5cGVzXS54bWxQSwECLQAUAAYACAAAACEAOP0h/9YAAACU&#10;AQAACwAAAAAAAAAAAAAAAAAvAQAAX3JlbHMvLnJlbHNQSwECLQAUAAYACAAAACEAl6OCXHsCAABe&#10;BQAADgAAAAAAAAAAAAAAAAAuAgAAZHJzL2Uyb0RvYy54bWxQSwECLQAUAAYACAAAACEArKwuT+AA&#10;AAALAQAADwAAAAAAAAAAAAAAAADVBAAAZHJzL2Rvd25yZXYueG1sUEsFBgAAAAAEAAQA8wAAAOIF&#10;AAAAAA==&#10;" fillcolor="white [3212]" stroked="f" strokeweight="2pt"/>
            </w:pict>
          </mc:Fallback>
        </mc:AlternateContent>
      </w:r>
      <w:r w:rsidR="00392B8E" w:rsidRPr="00392B8E">
        <w:rPr>
          <w:noProof/>
        </w:rPr>
        <w:drawing>
          <wp:inline distT="0" distB="0" distL="0" distR="0" wp14:anchorId="4633BEE5" wp14:editId="3F203C56">
            <wp:extent cx="8544560" cy="4169664"/>
            <wp:effectExtent l="0" t="0" r="8890" b="2540"/>
            <wp:docPr id="1579701415"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01415" name="Picture 1" descr="A graph with numbers and lines&#10;&#10;Description automatically generated"/>
                    <pic:cNvPicPr/>
                  </pic:nvPicPr>
                  <pic:blipFill>
                    <a:blip r:embed="rId40"/>
                    <a:stretch>
                      <a:fillRect/>
                    </a:stretch>
                  </pic:blipFill>
                  <pic:spPr>
                    <a:xfrm>
                      <a:off x="0" y="0"/>
                      <a:ext cx="8546087" cy="4170409"/>
                    </a:xfrm>
                    <a:prstGeom prst="rect">
                      <a:avLst/>
                    </a:prstGeom>
                  </pic:spPr>
                </pic:pic>
              </a:graphicData>
            </a:graphic>
          </wp:inline>
        </w:drawing>
      </w:r>
    </w:p>
    <w:p w14:paraId="3866746A" w14:textId="2E9D017B" w:rsidR="00B3182B" w:rsidRDefault="00772032" w:rsidP="00A20109">
      <w:pPr>
        <w:jc w:val="left"/>
        <w:sectPr w:rsidR="00B3182B" w:rsidSect="00A20109">
          <w:pgSz w:w="16838" w:h="11906" w:orient="landscape"/>
          <w:pgMar w:top="1276" w:right="1440" w:bottom="1702" w:left="1440" w:header="708" w:footer="708" w:gutter="0"/>
          <w:cols w:space="242"/>
          <w:docGrid w:linePitch="360"/>
        </w:sectPr>
      </w:pPr>
      <w:r w:rsidRPr="00772032">
        <w:rPr>
          <w:sz w:val="16"/>
          <w:szCs w:val="20"/>
        </w:rPr>
        <w:t xml:space="preserve">Safe Work Australia implemented improvements to the estimates of the working population used to calculate 2021-22 frequency rates. This can explain some of the large changes in frequency rates between 2020-21 and 2021-22p (such as in the Administrative and support services industry and the </w:t>
      </w:r>
      <w:proofErr w:type="gramStart"/>
      <w:r w:rsidRPr="00772032">
        <w:rPr>
          <w:sz w:val="16"/>
          <w:szCs w:val="20"/>
        </w:rPr>
        <w:t>Public</w:t>
      </w:r>
      <w:proofErr w:type="gramEnd"/>
      <w:r w:rsidRPr="00772032">
        <w:rPr>
          <w:sz w:val="16"/>
          <w:szCs w:val="20"/>
        </w:rPr>
        <w:t xml:space="preserve"> administration and safety industry). </w:t>
      </w:r>
      <w:r w:rsidRPr="00594383">
        <w:rPr>
          <w:sz w:val="16"/>
          <w:szCs w:val="20"/>
        </w:rPr>
        <w:t>See</w:t>
      </w:r>
      <w:r w:rsidRPr="00A20109">
        <w:rPr>
          <w:sz w:val="16"/>
          <w:szCs w:val="20"/>
          <w:u w:val="single"/>
        </w:rPr>
        <w:t> https://data.safeworkaustralia.gov.au/sites/default/files/2023-09/Denominator%20Impact%20Analysis.DOCX</w:t>
      </w:r>
      <w:r w:rsidRPr="00594383">
        <w:rPr>
          <w:sz w:val="16"/>
          <w:szCs w:val="20"/>
        </w:rPr>
        <w:t xml:space="preserve"> for more information.</w:t>
      </w:r>
    </w:p>
    <w:p w14:paraId="326C1B45" w14:textId="77777777" w:rsidR="003070A9" w:rsidRPr="00086AB2" w:rsidRDefault="003070A9" w:rsidP="00B51041">
      <w:pPr>
        <w:pStyle w:val="SWASectionnum2"/>
      </w:pPr>
      <w:bookmarkStart w:id="66" w:name="_Toc491086616"/>
      <w:bookmarkStart w:id="67" w:name="_Toc150245694"/>
      <w:r w:rsidRPr="00086AB2">
        <w:lastRenderedPageBreak/>
        <w:t>Claims by industry and jurisdiction</w:t>
      </w:r>
      <w:bookmarkEnd w:id="66"/>
      <w:bookmarkEnd w:id="67"/>
    </w:p>
    <w:p w14:paraId="785EE89A" w14:textId="4004B6E2" w:rsidR="00720C28" w:rsidRDefault="003070A9" w:rsidP="003070A9">
      <w:r w:rsidRPr="00086AB2">
        <w:t xml:space="preserve">This section </w:t>
      </w:r>
      <w:r w:rsidR="00663BD6">
        <w:t>presents</w:t>
      </w:r>
      <w:r w:rsidR="00655324">
        <w:t xml:space="preserve"> </w:t>
      </w:r>
      <w:r w:rsidRPr="00086AB2">
        <w:t xml:space="preserve">a comparison of the </w:t>
      </w:r>
      <w:r w:rsidR="000B49AD">
        <w:t>frequency</w:t>
      </w:r>
      <w:r w:rsidRPr="00086AB2">
        <w:t xml:space="preserve"> rates of serious claims across the Australian j</w:t>
      </w:r>
      <w:r w:rsidR="005C3890">
        <w:t xml:space="preserve">urisdictions for </w:t>
      </w:r>
      <w:r w:rsidR="009F031B">
        <w:t xml:space="preserve">each of the </w:t>
      </w:r>
      <w:r w:rsidR="005C3890">
        <w:t>19</w:t>
      </w:r>
      <w:r w:rsidR="00655324">
        <w:t> </w:t>
      </w:r>
      <w:r w:rsidR="005C3890">
        <w:t>industries</w:t>
      </w:r>
      <w:r w:rsidRPr="00086AB2">
        <w:t xml:space="preserve">. </w:t>
      </w:r>
      <w:r w:rsidR="009F031B" w:rsidRPr="009F031B">
        <w:t>Not all jurisdictions are included under each industry, as some industries will not be relevant for certain jurisdictions, particularly Comcare (Australian Government).</w:t>
      </w:r>
    </w:p>
    <w:p w14:paraId="0DE91018" w14:textId="491DEFF0" w:rsidR="00896069" w:rsidRPr="00086AB2" w:rsidRDefault="00896069" w:rsidP="003070A9">
      <w:r>
        <w:t>Detailed denominator data is not available for Seacare and New Zealand have not made a National Dataset for Compensation Based Statistics (NDS) data submission. Therefore, incidence and frequency rates have not been calculated for Seacare and New Zealand.</w:t>
      </w:r>
    </w:p>
    <w:p w14:paraId="3BCF4D26" w14:textId="323A0B2D" w:rsidR="000B49AD" w:rsidRPr="000B49AD" w:rsidRDefault="000B49AD" w:rsidP="003070A9">
      <w:pPr>
        <w:rPr>
          <w:i/>
          <w:iCs/>
        </w:rPr>
      </w:pPr>
      <w:r>
        <w:rPr>
          <w:i/>
          <w:iCs/>
        </w:rPr>
        <w:t xml:space="preserve">Caution should be used when interpreting these </w:t>
      </w:r>
      <w:proofErr w:type="gramStart"/>
      <w:r>
        <w:rPr>
          <w:i/>
          <w:iCs/>
        </w:rPr>
        <w:t>results</w:t>
      </w:r>
      <w:proofErr w:type="gramEnd"/>
    </w:p>
    <w:p w14:paraId="5FDB3771" w14:textId="77777777" w:rsidR="0055154B" w:rsidRDefault="0055154B" w:rsidP="0055154B">
      <w:bookmarkStart w:id="68" w:name="_Toc150245695"/>
      <w:r>
        <w:t>Frequency</w:t>
      </w:r>
      <w:r w:rsidRPr="00086AB2">
        <w:t xml:space="preserve"> rates in some industries at the jurisdictional level can be volatile and should be treated with caution. As the number of employees used in calculating </w:t>
      </w:r>
      <w:r>
        <w:t>frequency</w:t>
      </w:r>
      <w:r w:rsidRPr="00086AB2">
        <w:t xml:space="preserve"> rates are estimated from survey samples, readers should be aware that the relative standard errors for estimating the number of employees will be higher with smaller sample sizes.</w:t>
      </w:r>
      <w:r>
        <w:t xml:space="preserve"> </w:t>
      </w:r>
    </w:p>
    <w:p w14:paraId="77EAE681" w14:textId="77777777" w:rsidR="0055154B" w:rsidRDefault="0055154B" w:rsidP="0055154B">
      <w:r>
        <w:t xml:space="preserve">To assist interpretation, rates have been suppressed when: </w:t>
      </w:r>
    </w:p>
    <w:p w14:paraId="0999D7C1" w14:textId="77777777" w:rsidR="0055154B" w:rsidRDefault="0055154B" w:rsidP="0055154B">
      <w:pPr>
        <w:pStyle w:val="paragraph"/>
        <w:numPr>
          <w:ilvl w:val="0"/>
          <w:numId w:val="1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There are less than five workers’ compensation claims contributing to the calculation of a rate.</w:t>
      </w:r>
    </w:p>
    <w:p w14:paraId="6DF6C860" w14:textId="77777777" w:rsidR="0055154B" w:rsidRDefault="0055154B" w:rsidP="0055154B">
      <w:pPr>
        <w:pStyle w:val="paragraph"/>
        <w:numPr>
          <w:ilvl w:val="0"/>
          <w:numId w:val="1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The estimated total hours worked per year contributing to the calculation of a rate is less than the equivalent hours of 1,000 full time staff.</w:t>
      </w:r>
      <w:r>
        <w:rPr>
          <w:rStyle w:val="eop"/>
          <w:rFonts w:ascii="Arial" w:eastAsiaTheme="majorEastAsia" w:hAnsi="Arial"/>
          <w:sz w:val="20"/>
          <w:szCs w:val="20"/>
        </w:rPr>
        <w:t> </w:t>
      </w:r>
    </w:p>
    <w:p w14:paraId="2F71ECBC" w14:textId="77777777" w:rsidR="0055154B" w:rsidRPr="00663BD6" w:rsidRDefault="0055154B" w:rsidP="0055154B">
      <w:pPr>
        <w:pStyle w:val="paragraph"/>
        <w:numPr>
          <w:ilvl w:val="0"/>
          <w:numId w:val="1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The Relative Standard Error (RSE) associated with employment estimates contributing to the calculation of a rate is greater than 50%.</w:t>
      </w:r>
      <w:r>
        <w:rPr>
          <w:rStyle w:val="eop"/>
          <w:rFonts w:ascii="Arial" w:eastAsiaTheme="majorEastAsia" w:hAnsi="Arial"/>
          <w:sz w:val="20"/>
          <w:szCs w:val="20"/>
        </w:rPr>
        <w:t> </w:t>
      </w:r>
    </w:p>
    <w:p w14:paraId="327AEC05" w14:textId="41C4634C" w:rsidR="00781310" w:rsidRPr="00086AB2" w:rsidRDefault="00781310" w:rsidP="00B51041">
      <w:pPr>
        <w:pStyle w:val="Heading1"/>
      </w:pPr>
      <w:r w:rsidRPr="00086AB2">
        <w:t xml:space="preserve">Agriculture, </w:t>
      </w:r>
      <w:proofErr w:type="gramStart"/>
      <w:r w:rsidRPr="00086AB2">
        <w:t>forestry</w:t>
      </w:r>
      <w:proofErr w:type="gramEnd"/>
      <w:r w:rsidRPr="00086AB2">
        <w:t xml:space="preserve"> and fishing</w:t>
      </w:r>
      <w:bookmarkEnd w:id="68"/>
      <w:r w:rsidR="00F7343A">
        <w:t xml:space="preserve"> </w:t>
      </w:r>
    </w:p>
    <w:p w14:paraId="48FC1AD4" w14:textId="04E16AA3" w:rsidR="00781310" w:rsidRPr="00086AB2" w:rsidRDefault="003A1B9E" w:rsidP="0031228B">
      <w:pPr>
        <w:pStyle w:val="Heading3"/>
      </w:pPr>
      <w:bookmarkStart w:id="69" w:name="_Toc150245696"/>
      <w:bookmarkStart w:id="70" w:name="_Hlk56772836"/>
      <w:r>
        <w:t>Frequency</w:t>
      </w:r>
      <w:r w:rsidR="00512BD0" w:rsidRPr="00086AB2">
        <w:t xml:space="preserve"> rates of serious claims for </w:t>
      </w:r>
      <w:r w:rsidR="009D46FF" w:rsidRPr="00086AB2">
        <w:t>A</w:t>
      </w:r>
      <w:r w:rsidR="00781310" w:rsidRPr="00086AB2">
        <w:t xml:space="preserve">griculture, </w:t>
      </w:r>
      <w:proofErr w:type="gramStart"/>
      <w:r w:rsidR="00781310" w:rsidRPr="00086AB2">
        <w:t>forestry</w:t>
      </w:r>
      <w:proofErr w:type="gramEnd"/>
      <w:r w:rsidR="00781310" w:rsidRPr="00086AB2">
        <w:t xml:space="preserve"> and fishing by</w:t>
      </w:r>
      <w:r w:rsidR="00C8587B" w:rsidRPr="00086AB2">
        <w:t> </w:t>
      </w:r>
      <w:r w:rsidR="00781310" w:rsidRPr="00086AB2">
        <w:t>jurisdiction</w:t>
      </w:r>
      <w:r w:rsidR="00663BD6">
        <w:t xml:space="preserve"> (previously i</w:t>
      </w:r>
      <w:r w:rsidR="00663BD6" w:rsidRPr="00086AB2">
        <w:t>ndicator 11</w:t>
      </w:r>
      <w:r w:rsidR="00663BD6" w:rsidRPr="00086AB2">
        <w:rPr>
          <w:noProof/>
        </w:rPr>
        <w:fldChar w:fldCharType="begin"/>
      </w:r>
      <w:r w:rsidR="00663BD6" w:rsidRPr="00086AB2">
        <w:rPr>
          <w:noProof/>
        </w:rPr>
        <w:instrText xml:space="preserve"> SEQ Indicator_11 \* alphabetic </w:instrText>
      </w:r>
      <w:r w:rsidR="00663BD6" w:rsidRPr="00086AB2">
        <w:rPr>
          <w:noProof/>
        </w:rPr>
        <w:fldChar w:fldCharType="separate"/>
      </w:r>
      <w:r w:rsidR="00663BD6">
        <w:rPr>
          <w:noProof/>
        </w:rPr>
        <w:t>a</w:t>
      </w:r>
      <w:r w:rsidR="00663BD6" w:rsidRPr="00086AB2">
        <w:rPr>
          <w:noProof/>
        </w:rPr>
        <w:fldChar w:fldCharType="end"/>
      </w:r>
      <w:r w:rsidR="00663BD6">
        <w:rPr>
          <w:noProof/>
        </w:rPr>
        <w:t>)</w:t>
      </w:r>
      <w:bookmarkEnd w:id="69"/>
    </w:p>
    <w:bookmarkEnd w:id="70"/>
    <w:p w14:paraId="0A9E24A4" w14:textId="02915A00" w:rsidR="00781310" w:rsidRDefault="00A81797" w:rsidP="00EC32BE">
      <w:r>
        <w:rPr>
          <w:noProof/>
        </w:rPr>
        <w:drawing>
          <wp:inline distT="0" distB="0" distL="0" distR="0" wp14:anchorId="07841CA2" wp14:editId="59C10818">
            <wp:extent cx="6071191" cy="3202040"/>
            <wp:effectExtent l="0" t="0" r="6350" b="0"/>
            <wp:docPr id="1208746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78588" cy="3205941"/>
                    </a:xfrm>
                    <a:prstGeom prst="rect">
                      <a:avLst/>
                    </a:prstGeom>
                    <a:noFill/>
                  </pic:spPr>
                </pic:pic>
              </a:graphicData>
            </a:graphic>
          </wp:inline>
        </w:drawing>
      </w:r>
    </w:p>
    <w:p w14:paraId="0E5EAB3C" w14:textId="5FADB89A" w:rsidR="00896069" w:rsidRDefault="000D785F" w:rsidP="00EC32BE">
      <w:pPr>
        <w:rPr>
          <w:sz w:val="16"/>
          <w:szCs w:val="20"/>
        </w:rPr>
      </w:pPr>
      <w:r>
        <w:rPr>
          <w:sz w:val="16"/>
          <w:szCs w:val="20"/>
        </w:rPr>
        <w:t xml:space="preserve">ACT - </w:t>
      </w:r>
      <w:r w:rsidR="00896069" w:rsidRPr="00896069">
        <w:rPr>
          <w:sz w:val="16"/>
          <w:szCs w:val="20"/>
        </w:rPr>
        <w:t>Values for the Australian Capital Territory have been suppressed.</w:t>
      </w:r>
    </w:p>
    <w:p w14:paraId="7163AAF5" w14:textId="59406402" w:rsidR="00781310" w:rsidRPr="00086AB2" w:rsidRDefault="00896069" w:rsidP="00896069">
      <w:pPr>
        <w:pStyle w:val="Heading1"/>
      </w:pPr>
      <w:r>
        <w:rPr>
          <w:sz w:val="16"/>
          <w:szCs w:val="20"/>
        </w:rPr>
        <w:br w:type="page"/>
      </w:r>
      <w:bookmarkStart w:id="71" w:name="_Toc150245697"/>
      <w:r w:rsidR="00934DED" w:rsidRPr="00086AB2">
        <w:lastRenderedPageBreak/>
        <w:t>Mining</w:t>
      </w:r>
      <w:bookmarkEnd w:id="71"/>
      <w:r w:rsidR="008E4270">
        <w:t xml:space="preserve"> </w:t>
      </w:r>
    </w:p>
    <w:p w14:paraId="4AE927DA" w14:textId="19467298" w:rsidR="00781310" w:rsidRPr="00086AB2" w:rsidRDefault="003A1B9E" w:rsidP="0031228B">
      <w:pPr>
        <w:pStyle w:val="Heading3"/>
      </w:pPr>
      <w:bookmarkStart w:id="72" w:name="_Toc150245698"/>
      <w:bookmarkStart w:id="73" w:name="_Hlk56772846"/>
      <w:r>
        <w:t>Frequency</w:t>
      </w:r>
      <w:r w:rsidRPr="00086AB2">
        <w:t xml:space="preserve"> </w:t>
      </w:r>
      <w:r w:rsidR="00781310" w:rsidRPr="00086AB2">
        <w:t xml:space="preserve">rates of serious claims for </w:t>
      </w:r>
      <w:r w:rsidR="009D46FF" w:rsidRPr="00086AB2">
        <w:t>M</w:t>
      </w:r>
      <w:r w:rsidR="00781310" w:rsidRPr="00086AB2">
        <w:t>ining by jurisdiction</w:t>
      </w:r>
      <w:r w:rsidR="00663BD6">
        <w:t xml:space="preserve"> (previously i</w:t>
      </w:r>
      <w:r w:rsidR="00663BD6" w:rsidRPr="00086AB2">
        <w:t>ndicator 11</w:t>
      </w:r>
      <w:r w:rsidR="00663BD6" w:rsidRPr="00086AB2">
        <w:rPr>
          <w:noProof/>
        </w:rPr>
        <w:fldChar w:fldCharType="begin"/>
      </w:r>
      <w:r w:rsidR="00663BD6" w:rsidRPr="00086AB2">
        <w:rPr>
          <w:noProof/>
        </w:rPr>
        <w:instrText xml:space="preserve"> SEQ Indicator_11 \* alphabetic </w:instrText>
      </w:r>
      <w:r w:rsidR="00663BD6" w:rsidRPr="00086AB2">
        <w:rPr>
          <w:noProof/>
        </w:rPr>
        <w:fldChar w:fldCharType="separate"/>
      </w:r>
      <w:r w:rsidR="00663BD6">
        <w:rPr>
          <w:noProof/>
        </w:rPr>
        <w:t>b</w:t>
      </w:r>
      <w:r w:rsidR="00663BD6" w:rsidRPr="00086AB2">
        <w:rPr>
          <w:noProof/>
        </w:rPr>
        <w:fldChar w:fldCharType="end"/>
      </w:r>
      <w:r w:rsidR="00663BD6">
        <w:rPr>
          <w:noProof/>
        </w:rPr>
        <w:t>)</w:t>
      </w:r>
      <w:bookmarkEnd w:id="72"/>
    </w:p>
    <w:bookmarkEnd w:id="73"/>
    <w:p w14:paraId="6DAAACCF" w14:textId="18E03540" w:rsidR="00781310" w:rsidRDefault="00A81797" w:rsidP="004F6BA7">
      <w:pPr>
        <w:spacing w:after="0"/>
        <w:jc w:val="center"/>
      </w:pPr>
      <w:r>
        <w:rPr>
          <w:rFonts w:ascii="Arial Bold" w:eastAsiaTheme="majorEastAsia" w:hAnsi="Arial Bold" w:cs="Arial"/>
          <w:b/>
          <w:noProof/>
          <w:kern w:val="32"/>
          <w:sz w:val="28"/>
          <w:szCs w:val="22"/>
        </w:rPr>
        <w:drawing>
          <wp:inline distT="0" distB="0" distL="0" distR="0" wp14:anchorId="6C678F05" wp14:editId="6E6D087D">
            <wp:extent cx="5607050" cy="2987411"/>
            <wp:effectExtent l="0" t="0" r="0" b="3810"/>
            <wp:docPr id="1444087741" name="Picture 4"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87741" name="Picture 4" descr="A graph of different colored bars&#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07050" cy="2987411"/>
                    </a:xfrm>
                    <a:prstGeom prst="rect">
                      <a:avLst/>
                    </a:prstGeom>
                    <a:noFill/>
                  </pic:spPr>
                </pic:pic>
              </a:graphicData>
            </a:graphic>
          </wp:inline>
        </w:drawing>
      </w:r>
    </w:p>
    <w:p w14:paraId="5D7C5D62" w14:textId="77777777" w:rsidR="000D785F" w:rsidRDefault="000D785F" w:rsidP="000D785F">
      <w:pPr>
        <w:rPr>
          <w:sz w:val="16"/>
          <w:szCs w:val="20"/>
        </w:rPr>
      </w:pPr>
      <w:r>
        <w:rPr>
          <w:sz w:val="16"/>
          <w:szCs w:val="20"/>
        </w:rPr>
        <w:t xml:space="preserve">ACT - </w:t>
      </w:r>
      <w:r w:rsidRPr="00896069">
        <w:rPr>
          <w:sz w:val="16"/>
          <w:szCs w:val="20"/>
        </w:rPr>
        <w:t>Values for the Australian Capital Territory have been suppressed.</w:t>
      </w:r>
    </w:p>
    <w:p w14:paraId="172F6148" w14:textId="2551689D" w:rsidR="008659BF" w:rsidRDefault="008659BF">
      <w:pPr>
        <w:spacing w:after="200" w:line="276" w:lineRule="auto"/>
        <w:jc w:val="left"/>
        <w:rPr>
          <w:rFonts w:ascii="Arial Bold" w:eastAsiaTheme="majorEastAsia" w:hAnsi="Arial Bold" w:cs="Arial"/>
          <w:b/>
          <w:kern w:val="32"/>
          <w:sz w:val="28"/>
          <w:szCs w:val="22"/>
        </w:rPr>
      </w:pPr>
    </w:p>
    <w:p w14:paraId="72B29FB7" w14:textId="1F583D2B" w:rsidR="00781310" w:rsidRPr="00086AB2" w:rsidRDefault="00066D3B" w:rsidP="004F6BA7">
      <w:pPr>
        <w:pStyle w:val="Heading1"/>
        <w:spacing w:before="120"/>
      </w:pPr>
      <w:bookmarkStart w:id="74" w:name="_Toc150245699"/>
      <w:r w:rsidRPr="00086AB2">
        <w:t>Manufacturing</w:t>
      </w:r>
      <w:bookmarkEnd w:id="74"/>
      <w:r w:rsidR="00C9188C">
        <w:t xml:space="preserve"> </w:t>
      </w:r>
    </w:p>
    <w:p w14:paraId="51D3F5EF" w14:textId="203D1809" w:rsidR="00522C19" w:rsidRDefault="003A1B9E" w:rsidP="007C0876">
      <w:pPr>
        <w:pStyle w:val="Heading3"/>
        <w:spacing w:after="60"/>
      </w:pPr>
      <w:bookmarkStart w:id="75" w:name="_Hlk56772856"/>
      <w:bookmarkStart w:id="76" w:name="_Toc150245700"/>
      <w:r>
        <w:t>Frequency</w:t>
      </w:r>
      <w:r w:rsidRPr="00086AB2">
        <w:t xml:space="preserve"> </w:t>
      </w:r>
      <w:r w:rsidR="00832514" w:rsidRPr="00086AB2">
        <w:t xml:space="preserve">rates of serious claims for </w:t>
      </w:r>
      <w:r w:rsidR="009D46FF" w:rsidRPr="00086AB2">
        <w:t>M</w:t>
      </w:r>
      <w:r w:rsidR="00832514" w:rsidRPr="00086AB2">
        <w:t>anufacturing by jurisdiction</w:t>
      </w:r>
      <w:bookmarkEnd w:id="75"/>
      <w:r w:rsidR="00DB6816">
        <w:t xml:space="preserve"> (previously i</w:t>
      </w:r>
      <w:r w:rsidR="00DB6816" w:rsidRPr="00086AB2">
        <w:t>ndicator 11</w:t>
      </w:r>
      <w:r w:rsidR="00DB6816" w:rsidRPr="00086AB2">
        <w:rPr>
          <w:noProof/>
        </w:rPr>
        <w:fldChar w:fldCharType="begin"/>
      </w:r>
      <w:r w:rsidR="00DB6816" w:rsidRPr="00086AB2">
        <w:rPr>
          <w:noProof/>
        </w:rPr>
        <w:instrText xml:space="preserve"> SEQ Indicator_11 \* alphabetic </w:instrText>
      </w:r>
      <w:r w:rsidR="00DB6816" w:rsidRPr="00086AB2">
        <w:rPr>
          <w:noProof/>
        </w:rPr>
        <w:fldChar w:fldCharType="separate"/>
      </w:r>
      <w:r w:rsidR="00DB6816">
        <w:rPr>
          <w:noProof/>
        </w:rPr>
        <w:t>c</w:t>
      </w:r>
      <w:r w:rsidR="00DB6816" w:rsidRPr="00086AB2">
        <w:rPr>
          <w:noProof/>
        </w:rPr>
        <w:fldChar w:fldCharType="end"/>
      </w:r>
      <w:r w:rsidR="00DB6816">
        <w:rPr>
          <w:noProof/>
        </w:rPr>
        <w:t>)</w:t>
      </w:r>
      <w:bookmarkEnd w:id="76"/>
    </w:p>
    <w:p w14:paraId="4797B4C8" w14:textId="77777777" w:rsidR="00A81797" w:rsidRDefault="00A81797">
      <w:pPr>
        <w:spacing w:after="200" w:line="276" w:lineRule="auto"/>
        <w:jc w:val="left"/>
      </w:pPr>
      <w:r>
        <w:rPr>
          <w:noProof/>
        </w:rPr>
        <w:drawing>
          <wp:inline distT="0" distB="0" distL="0" distR="0" wp14:anchorId="38DC73B0" wp14:editId="386CF8E6">
            <wp:extent cx="6081824" cy="3397937"/>
            <wp:effectExtent l="0" t="0" r="0" b="0"/>
            <wp:docPr id="19253270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2945" cy="3404150"/>
                    </a:xfrm>
                    <a:prstGeom prst="rect">
                      <a:avLst/>
                    </a:prstGeom>
                    <a:noFill/>
                  </pic:spPr>
                </pic:pic>
              </a:graphicData>
            </a:graphic>
          </wp:inline>
        </w:drawing>
      </w:r>
    </w:p>
    <w:p w14:paraId="69B56E59" w14:textId="77777777" w:rsidR="000D785F" w:rsidRPr="005D2DF1" w:rsidRDefault="000D785F" w:rsidP="000D785F">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7EB23782" w14:textId="47955982" w:rsidR="008659BF" w:rsidRDefault="008659BF">
      <w:pPr>
        <w:spacing w:after="200" w:line="276" w:lineRule="auto"/>
        <w:jc w:val="left"/>
        <w:rPr>
          <w:rFonts w:ascii="Arial Bold" w:eastAsiaTheme="majorEastAsia" w:hAnsi="Arial Bold" w:cs="Arial"/>
          <w:b/>
          <w:kern w:val="32"/>
          <w:sz w:val="28"/>
          <w:szCs w:val="22"/>
        </w:rPr>
      </w:pPr>
      <w:r>
        <w:br w:type="page"/>
      </w:r>
    </w:p>
    <w:p w14:paraId="67E3EDA2" w14:textId="0FB3C5A6" w:rsidR="00781310" w:rsidRPr="00086AB2" w:rsidRDefault="00781310" w:rsidP="0031228B">
      <w:pPr>
        <w:pStyle w:val="Heading1"/>
        <w:keepLines/>
        <w:spacing w:before="120"/>
      </w:pPr>
      <w:bookmarkStart w:id="77" w:name="_Toc150245701"/>
      <w:r w:rsidRPr="00086AB2">
        <w:lastRenderedPageBreak/>
        <w:t>Electricity</w:t>
      </w:r>
      <w:r w:rsidR="00905154" w:rsidRPr="00086AB2">
        <w:t xml:space="preserve">, gas, </w:t>
      </w:r>
      <w:proofErr w:type="gramStart"/>
      <w:r w:rsidR="00905154" w:rsidRPr="00086AB2">
        <w:t>water</w:t>
      </w:r>
      <w:proofErr w:type="gramEnd"/>
      <w:r w:rsidR="00905154" w:rsidRPr="00086AB2">
        <w:t xml:space="preserve"> and waste services</w:t>
      </w:r>
      <w:bookmarkEnd w:id="77"/>
      <w:r w:rsidR="00AF184D">
        <w:t xml:space="preserve"> </w:t>
      </w:r>
    </w:p>
    <w:p w14:paraId="2BB1989B" w14:textId="63BB0DD5" w:rsidR="003C4054" w:rsidRDefault="003A1B9E" w:rsidP="0031228B">
      <w:pPr>
        <w:pStyle w:val="Heading3"/>
        <w:spacing w:before="120" w:after="60"/>
      </w:pPr>
      <w:bookmarkStart w:id="78" w:name="_Toc150245702"/>
      <w:bookmarkStart w:id="79" w:name="_Hlk56772864"/>
      <w:r>
        <w:t>Frequency</w:t>
      </w:r>
      <w:r w:rsidRPr="00086AB2">
        <w:t xml:space="preserve"> </w:t>
      </w:r>
      <w:r w:rsidR="00832514" w:rsidRPr="00086AB2">
        <w:t xml:space="preserve">rates of serious claims for </w:t>
      </w:r>
      <w:proofErr w:type="gramStart"/>
      <w:r w:rsidR="009D46FF" w:rsidRPr="00086AB2">
        <w:t>E</w:t>
      </w:r>
      <w:r w:rsidR="00832514" w:rsidRPr="00086AB2">
        <w:t>lectricity</w:t>
      </w:r>
      <w:proofErr w:type="gramEnd"/>
      <w:r w:rsidR="00832514" w:rsidRPr="00086AB2">
        <w:t>, gas, water and waste services by jurisdiction</w:t>
      </w:r>
      <w:r w:rsidR="00DB6816">
        <w:t xml:space="preserve"> (previously i</w:t>
      </w:r>
      <w:r w:rsidR="00DB6816" w:rsidRPr="00086AB2">
        <w:t>ndicator 11</w:t>
      </w:r>
      <w:fldSimple w:instr=" SEQ Indicator_11 \* alphabetic ">
        <w:r w:rsidR="00DB6816">
          <w:rPr>
            <w:noProof/>
          </w:rPr>
          <w:t>d</w:t>
        </w:r>
      </w:fldSimple>
      <w:r w:rsidR="00DB6816">
        <w:rPr>
          <w:noProof/>
        </w:rPr>
        <w:t>)</w:t>
      </w:r>
      <w:bookmarkEnd w:id="78"/>
    </w:p>
    <w:bookmarkEnd w:id="79"/>
    <w:p w14:paraId="25C7E7AC" w14:textId="58DC2FA4" w:rsidR="00832514" w:rsidRDefault="00A81797" w:rsidP="007C0876">
      <w:r>
        <w:rPr>
          <w:noProof/>
        </w:rPr>
        <w:drawing>
          <wp:inline distT="0" distB="0" distL="0" distR="0" wp14:anchorId="06E2734B" wp14:editId="463DB7B3">
            <wp:extent cx="6060559" cy="3148872"/>
            <wp:effectExtent l="0" t="0" r="0" b="0"/>
            <wp:docPr id="18910206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69720" cy="3153632"/>
                    </a:xfrm>
                    <a:prstGeom prst="rect">
                      <a:avLst/>
                    </a:prstGeom>
                    <a:noFill/>
                  </pic:spPr>
                </pic:pic>
              </a:graphicData>
            </a:graphic>
          </wp:inline>
        </w:drawing>
      </w:r>
    </w:p>
    <w:p w14:paraId="3247B9F1" w14:textId="77777777" w:rsidR="000D785F" w:rsidRDefault="000D785F" w:rsidP="000D785F">
      <w:pPr>
        <w:rPr>
          <w:sz w:val="16"/>
          <w:szCs w:val="20"/>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502856E1" w14:textId="77777777" w:rsidR="000D785F" w:rsidRPr="005D2DF1" w:rsidRDefault="000D785F" w:rsidP="000D785F">
      <w:pPr>
        <w:rPr>
          <w:lang w:eastAsia="en-US"/>
        </w:rPr>
      </w:pPr>
    </w:p>
    <w:p w14:paraId="49FC7C5F" w14:textId="16087E00" w:rsidR="00781310" w:rsidRPr="00086AB2" w:rsidRDefault="00905154" w:rsidP="00B51041">
      <w:pPr>
        <w:pStyle w:val="Heading1"/>
      </w:pPr>
      <w:bookmarkStart w:id="80" w:name="_Toc150245703"/>
      <w:r w:rsidRPr="00086AB2">
        <w:t>Construction</w:t>
      </w:r>
      <w:bookmarkEnd w:id="80"/>
      <w:r w:rsidR="00D115A2">
        <w:t xml:space="preserve"> </w:t>
      </w:r>
    </w:p>
    <w:p w14:paraId="7B3E1C7E" w14:textId="5B274B8F" w:rsidR="00E40D55" w:rsidRPr="00086AB2" w:rsidRDefault="003A1B9E" w:rsidP="0031228B">
      <w:pPr>
        <w:pStyle w:val="Heading3"/>
        <w:spacing w:before="120" w:after="60"/>
      </w:pPr>
      <w:bookmarkStart w:id="81" w:name="_Toc150245704"/>
      <w:bookmarkStart w:id="82" w:name="_Hlk56772873"/>
      <w:r>
        <w:t>Frequency</w:t>
      </w:r>
      <w:r w:rsidRPr="00086AB2">
        <w:t xml:space="preserve"> </w:t>
      </w:r>
      <w:r w:rsidR="00E40D55" w:rsidRPr="00086AB2">
        <w:t xml:space="preserve">rates of serious claims for </w:t>
      </w:r>
      <w:r w:rsidR="009D46FF" w:rsidRPr="00086AB2">
        <w:t>C</w:t>
      </w:r>
      <w:r w:rsidR="00E40D55" w:rsidRPr="00086AB2">
        <w:t>onstruction by jurisdiction</w:t>
      </w:r>
      <w:r w:rsidR="00DB6816">
        <w:t xml:space="preserve"> (previously i</w:t>
      </w:r>
      <w:r w:rsidR="00DB6816" w:rsidRPr="00086AB2">
        <w:t>ndicator 11</w:t>
      </w:r>
      <w:r w:rsidR="00DB6816" w:rsidRPr="00086AB2">
        <w:rPr>
          <w:noProof/>
        </w:rPr>
        <w:fldChar w:fldCharType="begin"/>
      </w:r>
      <w:r w:rsidR="00DB6816" w:rsidRPr="00086AB2">
        <w:rPr>
          <w:noProof/>
        </w:rPr>
        <w:instrText xml:space="preserve"> SEQ Indicator_11 \* alphabetic </w:instrText>
      </w:r>
      <w:r w:rsidR="00DB6816" w:rsidRPr="00086AB2">
        <w:rPr>
          <w:noProof/>
        </w:rPr>
        <w:fldChar w:fldCharType="separate"/>
      </w:r>
      <w:r w:rsidR="00DB6816">
        <w:rPr>
          <w:noProof/>
        </w:rPr>
        <w:t>e</w:t>
      </w:r>
      <w:r w:rsidR="00DB6816" w:rsidRPr="00086AB2">
        <w:rPr>
          <w:noProof/>
        </w:rPr>
        <w:fldChar w:fldCharType="end"/>
      </w:r>
      <w:r w:rsidR="00DB6816">
        <w:rPr>
          <w:noProof/>
        </w:rPr>
        <w:t>)</w:t>
      </w:r>
      <w:bookmarkEnd w:id="81"/>
    </w:p>
    <w:bookmarkEnd w:id="82"/>
    <w:p w14:paraId="55269354" w14:textId="615B872B" w:rsidR="008F29A3" w:rsidRDefault="00A81797" w:rsidP="004B3158">
      <w:r>
        <w:rPr>
          <w:noProof/>
        </w:rPr>
        <w:drawing>
          <wp:inline distT="0" distB="0" distL="0" distR="0" wp14:anchorId="049AC724" wp14:editId="1BB621F0">
            <wp:extent cx="6062774" cy="3019647"/>
            <wp:effectExtent l="0" t="0" r="0" b="9525"/>
            <wp:docPr id="19393469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93690" cy="3035045"/>
                    </a:xfrm>
                    <a:prstGeom prst="rect">
                      <a:avLst/>
                    </a:prstGeom>
                    <a:noFill/>
                  </pic:spPr>
                </pic:pic>
              </a:graphicData>
            </a:graphic>
          </wp:inline>
        </w:drawing>
      </w:r>
    </w:p>
    <w:p w14:paraId="4BE03493" w14:textId="77777777" w:rsidR="000D785F" w:rsidRPr="005D2DF1" w:rsidRDefault="000D785F" w:rsidP="000D785F">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72A3203A" w14:textId="77777777" w:rsidR="008659BF" w:rsidRDefault="008659BF">
      <w:pPr>
        <w:spacing w:after="200" w:line="276" w:lineRule="auto"/>
        <w:jc w:val="left"/>
        <w:rPr>
          <w:rFonts w:ascii="Arial Bold" w:eastAsiaTheme="majorEastAsia" w:hAnsi="Arial Bold" w:cs="Arial"/>
          <w:b/>
          <w:kern w:val="32"/>
          <w:sz w:val="28"/>
          <w:szCs w:val="22"/>
        </w:rPr>
      </w:pPr>
      <w:r>
        <w:br w:type="page"/>
      </w:r>
    </w:p>
    <w:p w14:paraId="0D9095C5" w14:textId="65C28632" w:rsidR="008F29A3" w:rsidRPr="00086AB2" w:rsidRDefault="008F29A3" w:rsidP="007C5139">
      <w:pPr>
        <w:pStyle w:val="Heading1"/>
        <w:keepNext w:val="0"/>
      </w:pPr>
      <w:bookmarkStart w:id="83" w:name="_Toc150245705"/>
      <w:r w:rsidRPr="00086AB2">
        <w:lastRenderedPageBreak/>
        <w:t>Wholesale trade</w:t>
      </w:r>
      <w:bookmarkEnd w:id="83"/>
      <w:r>
        <w:t xml:space="preserve"> </w:t>
      </w:r>
    </w:p>
    <w:p w14:paraId="365985A6" w14:textId="5FCD868B" w:rsidR="00E40D55" w:rsidRPr="00086AB2" w:rsidRDefault="003A1B9E" w:rsidP="0031228B">
      <w:pPr>
        <w:pStyle w:val="Heading3"/>
        <w:spacing w:before="120" w:after="60"/>
      </w:pPr>
      <w:bookmarkStart w:id="84" w:name="_Toc150245706"/>
      <w:bookmarkStart w:id="85" w:name="_Hlk56772883"/>
      <w:r>
        <w:t>Frequency</w:t>
      </w:r>
      <w:r w:rsidRPr="00086AB2">
        <w:t xml:space="preserve"> </w:t>
      </w:r>
      <w:r w:rsidR="00957093" w:rsidRPr="00086AB2">
        <w:t xml:space="preserve">rates of serious claims for </w:t>
      </w:r>
      <w:r w:rsidR="009D46FF" w:rsidRPr="00086AB2">
        <w:t>W</w:t>
      </w:r>
      <w:r w:rsidR="00E40D55" w:rsidRPr="00086AB2">
        <w:t>holesale trade by jurisdiction</w:t>
      </w:r>
      <w:r w:rsidR="00DB6816">
        <w:t xml:space="preserve"> (previously i</w:t>
      </w:r>
      <w:r w:rsidR="00DB6816" w:rsidRPr="00086AB2">
        <w:t>ndicator</w:t>
      </w:r>
      <w:r w:rsidR="00DB6816">
        <w:t> </w:t>
      </w:r>
      <w:r w:rsidR="00DB6816" w:rsidRPr="00086AB2">
        <w:t>11</w:t>
      </w:r>
      <w:r w:rsidR="00DB6816" w:rsidRPr="00086AB2">
        <w:rPr>
          <w:noProof/>
        </w:rPr>
        <w:fldChar w:fldCharType="begin"/>
      </w:r>
      <w:r w:rsidR="00DB6816" w:rsidRPr="00086AB2">
        <w:rPr>
          <w:noProof/>
        </w:rPr>
        <w:instrText xml:space="preserve"> SEQ Indicator_11 \* alphabetic </w:instrText>
      </w:r>
      <w:r w:rsidR="00DB6816" w:rsidRPr="00086AB2">
        <w:rPr>
          <w:noProof/>
        </w:rPr>
        <w:fldChar w:fldCharType="separate"/>
      </w:r>
      <w:r w:rsidR="00DB6816">
        <w:rPr>
          <w:noProof/>
        </w:rPr>
        <w:t>f</w:t>
      </w:r>
      <w:r w:rsidR="00DB6816" w:rsidRPr="00086AB2">
        <w:rPr>
          <w:noProof/>
        </w:rPr>
        <w:fldChar w:fldCharType="end"/>
      </w:r>
      <w:r w:rsidR="00DB6816">
        <w:rPr>
          <w:noProof/>
        </w:rPr>
        <w:t>)</w:t>
      </w:r>
      <w:bookmarkEnd w:id="84"/>
    </w:p>
    <w:bookmarkEnd w:id="85"/>
    <w:p w14:paraId="7746C663" w14:textId="61CF5063" w:rsidR="008659BF" w:rsidRDefault="00A81797">
      <w:pPr>
        <w:spacing w:after="200" w:line="276" w:lineRule="auto"/>
        <w:jc w:val="left"/>
        <w:rPr>
          <w:rFonts w:ascii="Arial Bold" w:eastAsiaTheme="majorEastAsia" w:hAnsi="Arial Bold" w:cs="Arial"/>
          <w:b/>
          <w:kern w:val="32"/>
          <w:sz w:val="28"/>
          <w:szCs w:val="22"/>
        </w:rPr>
      </w:pPr>
      <w:r>
        <w:rPr>
          <w:noProof/>
        </w:rPr>
        <w:drawing>
          <wp:inline distT="0" distB="0" distL="0" distR="0" wp14:anchorId="52D2439B" wp14:editId="0FD7B88A">
            <wp:extent cx="6060559" cy="3018544"/>
            <wp:effectExtent l="0" t="0" r="0" b="0"/>
            <wp:docPr id="13303418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70497" cy="3023494"/>
                    </a:xfrm>
                    <a:prstGeom prst="rect">
                      <a:avLst/>
                    </a:prstGeom>
                    <a:noFill/>
                  </pic:spPr>
                </pic:pic>
              </a:graphicData>
            </a:graphic>
          </wp:inline>
        </w:drawing>
      </w:r>
    </w:p>
    <w:p w14:paraId="1F8FD2A6" w14:textId="77777777" w:rsidR="000D785F" w:rsidRPr="005D2DF1" w:rsidRDefault="000D785F" w:rsidP="000D785F">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1A12B31F" w14:textId="77777777" w:rsidR="00A81797" w:rsidRDefault="00A81797">
      <w:pPr>
        <w:spacing w:after="200" w:line="276" w:lineRule="auto"/>
        <w:jc w:val="left"/>
        <w:rPr>
          <w:rFonts w:ascii="Arial Bold" w:eastAsiaTheme="majorEastAsia" w:hAnsi="Arial Bold" w:cs="Arial"/>
          <w:b/>
          <w:kern w:val="32"/>
          <w:sz w:val="28"/>
          <w:szCs w:val="22"/>
        </w:rPr>
      </w:pPr>
    </w:p>
    <w:p w14:paraId="14EC6248" w14:textId="771838C5" w:rsidR="008F29A3" w:rsidRPr="00086AB2" w:rsidRDefault="008F29A3" w:rsidP="004F6BA7">
      <w:pPr>
        <w:pStyle w:val="Heading1"/>
        <w:keepLines/>
        <w:spacing w:before="0"/>
      </w:pPr>
      <w:bookmarkStart w:id="86" w:name="_Toc150245707"/>
      <w:r w:rsidRPr="00086AB2">
        <w:t>Retail trade</w:t>
      </w:r>
      <w:bookmarkEnd w:id="86"/>
      <w:r>
        <w:t xml:space="preserve"> </w:t>
      </w:r>
    </w:p>
    <w:p w14:paraId="5B7B1331" w14:textId="294CBA24" w:rsidR="00522C19" w:rsidRDefault="003A1B9E" w:rsidP="00DB6816">
      <w:pPr>
        <w:pStyle w:val="Heading3"/>
      </w:pPr>
      <w:bookmarkStart w:id="87" w:name="_Hlk56772894"/>
      <w:bookmarkStart w:id="88" w:name="_Toc150245708"/>
      <w:r>
        <w:t>Frequency</w:t>
      </w:r>
      <w:r w:rsidRPr="00086AB2">
        <w:t xml:space="preserve"> </w:t>
      </w:r>
      <w:r w:rsidR="008F29A3" w:rsidRPr="00086AB2">
        <w:t>rates of serious claims for Retail trade by jurisdictio</w:t>
      </w:r>
      <w:r w:rsidR="008F29A3">
        <w:t>n</w:t>
      </w:r>
      <w:r w:rsidR="00DB6816">
        <w:t xml:space="preserve"> (previously i</w:t>
      </w:r>
      <w:r w:rsidR="00DB6816" w:rsidRPr="00086AB2">
        <w:t>ndicator 11</w:t>
      </w:r>
      <w:r w:rsidR="00DB6816" w:rsidRPr="00086AB2">
        <w:rPr>
          <w:noProof/>
        </w:rPr>
        <w:fldChar w:fldCharType="begin"/>
      </w:r>
      <w:r w:rsidR="00DB6816" w:rsidRPr="00086AB2">
        <w:rPr>
          <w:noProof/>
        </w:rPr>
        <w:instrText xml:space="preserve"> SEQ Indicator_11 \* alphabetic </w:instrText>
      </w:r>
      <w:r w:rsidR="00DB6816" w:rsidRPr="00086AB2">
        <w:rPr>
          <w:noProof/>
        </w:rPr>
        <w:fldChar w:fldCharType="separate"/>
      </w:r>
      <w:r w:rsidR="00DB6816">
        <w:rPr>
          <w:noProof/>
        </w:rPr>
        <w:t>g</w:t>
      </w:r>
      <w:r w:rsidR="00DB6816" w:rsidRPr="00086AB2">
        <w:rPr>
          <w:noProof/>
        </w:rPr>
        <w:fldChar w:fldCharType="end"/>
      </w:r>
      <w:r w:rsidR="00DB6816">
        <w:rPr>
          <w:noProof/>
        </w:rPr>
        <w:t>)</w:t>
      </w:r>
      <w:bookmarkEnd w:id="87"/>
      <w:bookmarkEnd w:id="88"/>
    </w:p>
    <w:p w14:paraId="56FC8C95" w14:textId="77777777" w:rsidR="000D785F" w:rsidRDefault="00A81797">
      <w:pPr>
        <w:spacing w:after="200" w:line="276" w:lineRule="auto"/>
        <w:jc w:val="left"/>
      </w:pPr>
      <w:r>
        <w:rPr>
          <w:noProof/>
        </w:rPr>
        <w:drawing>
          <wp:inline distT="0" distB="0" distL="0" distR="0" wp14:anchorId="15657095" wp14:editId="0083A275">
            <wp:extent cx="6069450" cy="3040911"/>
            <wp:effectExtent l="0" t="0" r="7620" b="7620"/>
            <wp:docPr id="3695554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92475" cy="3052447"/>
                    </a:xfrm>
                    <a:prstGeom prst="rect">
                      <a:avLst/>
                    </a:prstGeom>
                    <a:noFill/>
                  </pic:spPr>
                </pic:pic>
              </a:graphicData>
            </a:graphic>
          </wp:inline>
        </w:drawing>
      </w:r>
    </w:p>
    <w:p w14:paraId="06F8ABBC" w14:textId="77777777" w:rsidR="000D785F" w:rsidRPr="005D2DF1" w:rsidRDefault="000D785F" w:rsidP="000D785F">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375FEF9C" w14:textId="16FF30B7" w:rsidR="008659BF" w:rsidRDefault="008659BF">
      <w:pPr>
        <w:spacing w:after="200" w:line="276" w:lineRule="auto"/>
        <w:jc w:val="left"/>
        <w:rPr>
          <w:rFonts w:ascii="Arial Bold" w:eastAsiaTheme="majorEastAsia" w:hAnsi="Arial Bold" w:cs="Arial"/>
          <w:b/>
          <w:kern w:val="32"/>
          <w:sz w:val="28"/>
          <w:szCs w:val="22"/>
        </w:rPr>
      </w:pPr>
      <w:r>
        <w:br w:type="page"/>
      </w:r>
    </w:p>
    <w:p w14:paraId="785840AB" w14:textId="1ED9F13F" w:rsidR="001F785E" w:rsidRDefault="001978D9" w:rsidP="00DD3560">
      <w:pPr>
        <w:pStyle w:val="Heading1"/>
        <w:keepLines/>
        <w:spacing w:before="0"/>
      </w:pPr>
      <w:bookmarkStart w:id="89" w:name="_Toc150245709"/>
      <w:r w:rsidRPr="00086AB2">
        <w:lastRenderedPageBreak/>
        <w:t>Accommodation and food services</w:t>
      </w:r>
      <w:bookmarkEnd w:id="89"/>
      <w:r w:rsidR="00905555">
        <w:t xml:space="preserve"> </w:t>
      </w:r>
    </w:p>
    <w:p w14:paraId="45B9DAB2" w14:textId="7336E08C" w:rsidR="00E5660F" w:rsidRDefault="003A1B9E" w:rsidP="0031228B">
      <w:pPr>
        <w:pStyle w:val="Heading3"/>
      </w:pPr>
      <w:bookmarkStart w:id="90" w:name="_Toc150245710"/>
      <w:bookmarkStart w:id="91" w:name="_Hlk56772908"/>
      <w:r>
        <w:t>Frequency</w:t>
      </w:r>
      <w:r w:rsidRPr="00086AB2">
        <w:t xml:space="preserve"> </w:t>
      </w:r>
      <w:r w:rsidR="00C92473" w:rsidRPr="00086AB2">
        <w:t xml:space="preserve">rates of serious claims for </w:t>
      </w:r>
      <w:r w:rsidR="009D46FF" w:rsidRPr="00086AB2">
        <w:t>A</w:t>
      </w:r>
      <w:r w:rsidR="00C92473" w:rsidRPr="00086AB2">
        <w:t>ccommodation and food services by</w:t>
      </w:r>
      <w:r w:rsidR="00E55876" w:rsidRPr="00086AB2">
        <w:t> </w:t>
      </w:r>
      <w:r w:rsidR="00C92473" w:rsidRPr="00086AB2">
        <w:t>jurisdiction</w:t>
      </w:r>
      <w:r w:rsidR="00DB6816">
        <w:t xml:space="preserve"> (previously i</w:t>
      </w:r>
      <w:r w:rsidR="00DB6816" w:rsidRPr="00086AB2">
        <w:t>ndicator 11</w:t>
      </w:r>
      <w:r w:rsidR="00DB6816" w:rsidRPr="00086AB2">
        <w:rPr>
          <w:noProof/>
        </w:rPr>
        <w:fldChar w:fldCharType="begin"/>
      </w:r>
      <w:r w:rsidR="00DB6816" w:rsidRPr="00086AB2">
        <w:rPr>
          <w:noProof/>
        </w:rPr>
        <w:instrText xml:space="preserve"> SEQ Indicator_11 \* alphabetic </w:instrText>
      </w:r>
      <w:r w:rsidR="00DB6816" w:rsidRPr="00086AB2">
        <w:rPr>
          <w:noProof/>
        </w:rPr>
        <w:fldChar w:fldCharType="separate"/>
      </w:r>
      <w:r w:rsidR="00DB6816">
        <w:rPr>
          <w:noProof/>
        </w:rPr>
        <w:t>h</w:t>
      </w:r>
      <w:r w:rsidR="00DB6816" w:rsidRPr="00086AB2">
        <w:rPr>
          <w:noProof/>
        </w:rPr>
        <w:fldChar w:fldCharType="end"/>
      </w:r>
      <w:r w:rsidR="00DB6816">
        <w:rPr>
          <w:noProof/>
        </w:rPr>
        <w:t>)</w:t>
      </w:r>
      <w:bookmarkEnd w:id="90"/>
    </w:p>
    <w:bookmarkEnd w:id="91"/>
    <w:p w14:paraId="3058DC35" w14:textId="1E279E4B" w:rsidR="00655324" w:rsidRDefault="006F4EC3" w:rsidP="00A07FDE">
      <w:pPr>
        <w:spacing w:after="200" w:line="276" w:lineRule="auto"/>
        <w:rPr>
          <w:rFonts w:ascii="Arial Bold" w:eastAsiaTheme="majorEastAsia" w:hAnsi="Arial Bold" w:cs="Arial"/>
          <w:b/>
          <w:kern w:val="32"/>
          <w:sz w:val="28"/>
          <w:szCs w:val="22"/>
        </w:rPr>
      </w:pPr>
      <w:r>
        <w:rPr>
          <w:rFonts w:ascii="Arial Bold" w:eastAsiaTheme="majorEastAsia" w:hAnsi="Arial Bold" w:cs="Arial"/>
          <w:b/>
          <w:noProof/>
          <w:kern w:val="32"/>
          <w:sz w:val="28"/>
          <w:szCs w:val="22"/>
        </w:rPr>
        <w:drawing>
          <wp:inline distT="0" distB="0" distL="0" distR="0" wp14:anchorId="7898470C" wp14:editId="3447006D">
            <wp:extent cx="6060440" cy="3142633"/>
            <wp:effectExtent l="0" t="0" r="0" b="635"/>
            <wp:docPr id="113696600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65975" cy="3145503"/>
                    </a:xfrm>
                    <a:prstGeom prst="rect">
                      <a:avLst/>
                    </a:prstGeom>
                    <a:noFill/>
                  </pic:spPr>
                </pic:pic>
              </a:graphicData>
            </a:graphic>
          </wp:inline>
        </w:drawing>
      </w:r>
    </w:p>
    <w:p w14:paraId="1BE14DFA" w14:textId="77777777" w:rsidR="000D785F" w:rsidRPr="005D2DF1" w:rsidRDefault="000D785F" w:rsidP="000D785F">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3E54A7D6" w14:textId="76780305" w:rsidR="00781310" w:rsidRPr="009E4E76" w:rsidRDefault="00781310" w:rsidP="00B51041">
      <w:pPr>
        <w:pStyle w:val="Heading1"/>
        <w:rPr>
          <w:color w:val="FF0000"/>
          <w:sz w:val="20"/>
          <w:szCs w:val="20"/>
        </w:rPr>
      </w:pPr>
      <w:bookmarkStart w:id="92" w:name="_Toc150245711"/>
      <w:r w:rsidRPr="00086AB2">
        <w:t>Transport, postal and warehousing</w:t>
      </w:r>
      <w:bookmarkEnd w:id="92"/>
      <w:r w:rsidR="009E4E76">
        <w:t xml:space="preserve"> </w:t>
      </w:r>
    </w:p>
    <w:p w14:paraId="2CCE12AD" w14:textId="6C7A6D89" w:rsidR="00C92473" w:rsidRPr="00086AB2" w:rsidRDefault="003A1B9E" w:rsidP="006F4EC3">
      <w:pPr>
        <w:pStyle w:val="Heading3"/>
        <w:spacing w:before="240"/>
      </w:pPr>
      <w:bookmarkStart w:id="93" w:name="_Toc150245712"/>
      <w:bookmarkStart w:id="94" w:name="_Hlk56772915"/>
      <w:r>
        <w:t>Frequency</w:t>
      </w:r>
      <w:r w:rsidRPr="00086AB2">
        <w:t xml:space="preserve"> </w:t>
      </w:r>
      <w:r w:rsidR="00C92473" w:rsidRPr="00086AB2">
        <w:t xml:space="preserve">rates of serious claims for </w:t>
      </w:r>
      <w:r w:rsidR="009D46FF" w:rsidRPr="00086AB2">
        <w:t>T</w:t>
      </w:r>
      <w:r w:rsidR="00C92473" w:rsidRPr="00086AB2">
        <w:t>ransport, postal and warehousing by</w:t>
      </w:r>
      <w:r w:rsidR="00E55876" w:rsidRPr="00086AB2">
        <w:t> </w:t>
      </w:r>
      <w:r w:rsidR="00C92473" w:rsidRPr="00086AB2">
        <w:t>jurisdiction</w:t>
      </w:r>
      <w:r w:rsidR="00DB6816">
        <w:t xml:space="preserve"> (previously i</w:t>
      </w:r>
      <w:r w:rsidR="00DB6816" w:rsidRPr="00086AB2">
        <w:t>ndicator 11</w:t>
      </w:r>
      <w:r w:rsidR="00DB6816" w:rsidRPr="00086AB2">
        <w:rPr>
          <w:noProof/>
        </w:rPr>
        <w:fldChar w:fldCharType="begin"/>
      </w:r>
      <w:r w:rsidR="00DB6816" w:rsidRPr="00086AB2">
        <w:rPr>
          <w:noProof/>
        </w:rPr>
        <w:instrText xml:space="preserve"> SEQ Indicator_11 \* alphabetic </w:instrText>
      </w:r>
      <w:r w:rsidR="00DB6816" w:rsidRPr="00086AB2">
        <w:rPr>
          <w:noProof/>
        </w:rPr>
        <w:fldChar w:fldCharType="separate"/>
      </w:r>
      <w:r w:rsidR="00DB6816">
        <w:rPr>
          <w:noProof/>
        </w:rPr>
        <w:t>i</w:t>
      </w:r>
      <w:r w:rsidR="00DB6816" w:rsidRPr="00086AB2">
        <w:rPr>
          <w:noProof/>
        </w:rPr>
        <w:fldChar w:fldCharType="end"/>
      </w:r>
      <w:r w:rsidR="00DB6816">
        <w:rPr>
          <w:noProof/>
        </w:rPr>
        <w:t>)</w:t>
      </w:r>
      <w:bookmarkEnd w:id="93"/>
    </w:p>
    <w:bookmarkEnd w:id="94"/>
    <w:p w14:paraId="44C1EA97" w14:textId="77777777" w:rsidR="000D785F" w:rsidRDefault="00A81797" w:rsidP="00A81797">
      <w:r>
        <w:rPr>
          <w:noProof/>
        </w:rPr>
        <w:drawing>
          <wp:inline distT="0" distB="0" distL="0" distR="0" wp14:anchorId="799B4C0C" wp14:editId="566FD429">
            <wp:extent cx="6060559" cy="3418397"/>
            <wp:effectExtent l="0" t="0" r="0" b="0"/>
            <wp:docPr id="13696669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64240" cy="3420473"/>
                    </a:xfrm>
                    <a:prstGeom prst="rect">
                      <a:avLst/>
                    </a:prstGeom>
                    <a:noFill/>
                  </pic:spPr>
                </pic:pic>
              </a:graphicData>
            </a:graphic>
          </wp:inline>
        </w:drawing>
      </w:r>
    </w:p>
    <w:p w14:paraId="6A56BA96" w14:textId="383AF395" w:rsidR="008659BF" w:rsidRPr="00A81797" w:rsidRDefault="000D785F" w:rsidP="00A81797">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r w:rsidR="004B732D">
        <w:rPr>
          <w:noProof/>
        </w:rPr>
        <mc:AlternateContent>
          <mc:Choice Requires="wps">
            <w:drawing>
              <wp:anchor distT="0" distB="0" distL="114300" distR="114300" simplePos="0" relativeHeight="251674624" behindDoc="0" locked="0" layoutInCell="1" allowOverlap="1" wp14:anchorId="018FF366" wp14:editId="77E31637">
                <wp:simplePos x="0" y="0"/>
                <wp:positionH relativeFrom="column">
                  <wp:posOffset>1151890</wp:posOffset>
                </wp:positionH>
                <wp:positionV relativeFrom="paragraph">
                  <wp:posOffset>3213100</wp:posOffset>
                </wp:positionV>
                <wp:extent cx="3771900" cy="1143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377190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802AF" id="Rectangle 60" o:spid="_x0000_s1026" style="position:absolute;margin-left:90.7pt;margin-top:253pt;width:297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Q2eQIAAIYFAAAOAAAAZHJzL2Uyb0RvYy54bWysVE1v2zAMvQ/YfxB0X22n6boGdYogRYcB&#10;RRusHXpWZCkWIIuapMTJfv0o+SNZV+xQLAeFEslH8pnk9c2+0WQnnFdgSlqc5ZQIw6FSZlPSH893&#10;n75Q4gMzFdNgREkPwtOb+ccP162diQnUoCvhCIIYP2ttSesQ7CzLPK9Fw/wZWGFQKcE1LODVbbLK&#10;sRbRG51N8vxz1oKrrAMuvMfX205J5wlfSsHDo5ReBKJLirmFdLp0ruOZza/ZbOOYrRXv02DvyKJh&#10;ymDQEeqWBUa2Tv0F1SjuwIMMZxyaDKRUXKQasJoif1XNU82sSLUgOd6ONPn/B8sfdk925ZCG1vqZ&#10;RzFWsZeuif+YH9knsg4jWWIfCMfH88vL4ipHTjnqimJ6jjLCZEdv63z4KqAhUSipw4+ROGK7ex86&#10;08EkBvOgVXWntE6X2ABiqR3ZMfx0603Rg/9hpc27HDHH6JkdS05SOGgR8bT5LiRRFRY5SQmnbjwm&#10;wzgXJhSdqmaV6HK8yPE3ZDmknwhJgBFZYnUjdg8wWHYgA3ZHT28fXUVq5tE5/1dinfPokSKDCaNz&#10;owy4twA0VtVH7uwHkjpqIktrqA4rRxx0o+Qtv1P4ee+ZDyvmcHawI3AfhEc8pIa2pNBLlNTgfr31&#10;Hu2xpVFLSYuzWFL/c8ucoER/M9jsV8V0Goc3XaYXlxO8uFPN+lRjts0SsGcK3DyWJzHaBz2I0kHz&#10;gmtjEaOiihmOsUvKgxsuy9DtCFw8XCwWyQwH1rJwb54sj+CR1di+z/sX5mzf4wGn4wGGuWWzV63e&#10;2UZPA4ttAKnSHBx57fnGYU+N0y+muE1O78nquD7nvwEAAP//AwBQSwMEFAAGAAgAAAAhAD4ZXUje&#10;AAAACwEAAA8AAABkcnMvZG93bnJldi54bWxMj8FOwzAQRO9I/IO1SFwQdVI1bRriVAiJK4jChZsb&#10;b+OIeB3Zbhr4epYTPc7s0+xMvZvdICYMsfekIF9kIJBab3rqFHy8P9+XIGLSZPTgCRV8Y4Rdc31V&#10;68r4M73htE+d4BCKlVZgUxorKWNr0em48CMS344+OJ1Yhk6aoM8c7ga5zLK1dLon/mD1iE8W26/9&#10;ySnY/rSvqfRjYVP/ue1c/nIM051Stzfz4wOIhHP6h+GvPleHhjsd/IlMFAPrMl8xqqDI1jyKic2m&#10;YOfAznKVgWxqebmh+QUAAP//AwBQSwECLQAUAAYACAAAACEAtoM4kv4AAADhAQAAEwAAAAAAAAAA&#10;AAAAAAAAAAAAW0NvbnRlbnRfVHlwZXNdLnhtbFBLAQItABQABgAIAAAAIQA4/SH/1gAAAJQBAAAL&#10;AAAAAAAAAAAAAAAAAC8BAABfcmVscy8ucmVsc1BLAQItABQABgAIAAAAIQDFr3Q2eQIAAIYFAAAO&#10;AAAAAAAAAAAAAAAAAC4CAABkcnMvZTJvRG9jLnhtbFBLAQItABQABgAIAAAAIQA+GV1I3gAAAAsB&#10;AAAPAAAAAAAAAAAAAAAAANMEAABkcnMvZG93bnJldi54bWxQSwUGAAAAAAQABADzAAAA3gUAAAAA&#10;" fillcolor="white [3212]" strokecolor="white [3212]" strokeweight="2pt"/>
            </w:pict>
          </mc:Fallback>
        </mc:AlternateContent>
      </w:r>
    </w:p>
    <w:p w14:paraId="516B1AA5" w14:textId="1EE39966" w:rsidR="00941B5B" w:rsidRDefault="008F29A3" w:rsidP="00DE237E">
      <w:pPr>
        <w:pStyle w:val="Heading1"/>
        <w:keepLines/>
        <w:spacing w:before="120"/>
      </w:pPr>
      <w:bookmarkStart w:id="95" w:name="_Toc150245713"/>
      <w:r w:rsidRPr="00086AB2">
        <w:lastRenderedPageBreak/>
        <w:t>Information media and telecommunications</w:t>
      </w:r>
      <w:bookmarkEnd w:id="95"/>
      <w:r>
        <w:t xml:space="preserve"> </w:t>
      </w:r>
    </w:p>
    <w:p w14:paraId="688E4E0D" w14:textId="76579232" w:rsidR="00941B5B" w:rsidRDefault="003A1B9E" w:rsidP="00DB6816">
      <w:pPr>
        <w:pStyle w:val="Heading3"/>
        <w:spacing w:before="120"/>
      </w:pPr>
      <w:bookmarkStart w:id="96" w:name="_Hlk56772937"/>
      <w:bookmarkStart w:id="97" w:name="_Toc150245714"/>
      <w:r>
        <w:t>Frequency</w:t>
      </w:r>
      <w:r w:rsidRPr="00086AB2">
        <w:t xml:space="preserve"> </w:t>
      </w:r>
      <w:r w:rsidR="00C92473" w:rsidRPr="00086AB2">
        <w:t xml:space="preserve">rates of serious claims for </w:t>
      </w:r>
      <w:r w:rsidR="009D46FF" w:rsidRPr="00086AB2">
        <w:t>I</w:t>
      </w:r>
      <w:r w:rsidR="00C92473" w:rsidRPr="00086AB2">
        <w:t>nformation media and telecommunications by jurisdiction</w:t>
      </w:r>
      <w:r w:rsidR="00DB6816">
        <w:t xml:space="preserve"> (previously i</w:t>
      </w:r>
      <w:r w:rsidR="00DB6816" w:rsidRPr="00086AB2">
        <w:t>ndicator 11</w:t>
      </w:r>
      <w:r w:rsidR="00DB6816" w:rsidRPr="00086AB2">
        <w:rPr>
          <w:noProof/>
        </w:rPr>
        <w:fldChar w:fldCharType="begin"/>
      </w:r>
      <w:r w:rsidR="00DB6816" w:rsidRPr="00086AB2">
        <w:rPr>
          <w:noProof/>
        </w:rPr>
        <w:instrText xml:space="preserve"> SEQ Indicator_11 \* alphabetic </w:instrText>
      </w:r>
      <w:r w:rsidR="00DB6816" w:rsidRPr="00086AB2">
        <w:rPr>
          <w:noProof/>
        </w:rPr>
        <w:fldChar w:fldCharType="separate"/>
      </w:r>
      <w:r w:rsidR="00DB6816">
        <w:rPr>
          <w:noProof/>
        </w:rPr>
        <w:t>j</w:t>
      </w:r>
      <w:r w:rsidR="00DB6816" w:rsidRPr="00086AB2">
        <w:rPr>
          <w:noProof/>
        </w:rPr>
        <w:fldChar w:fldCharType="end"/>
      </w:r>
      <w:r w:rsidR="00DB6816">
        <w:rPr>
          <w:noProof/>
        </w:rPr>
        <w:t>)</w:t>
      </w:r>
      <w:bookmarkEnd w:id="96"/>
      <w:bookmarkEnd w:id="97"/>
    </w:p>
    <w:p w14:paraId="146FF3E1" w14:textId="4A9F20B4" w:rsidR="003D7C1F" w:rsidRPr="00086AB2" w:rsidRDefault="00B07C83" w:rsidP="00402DCC">
      <w:pPr>
        <w:spacing w:after="0"/>
      </w:pPr>
      <w:r>
        <w:rPr>
          <w:noProof/>
        </w:rPr>
        <mc:AlternateContent>
          <mc:Choice Requires="wps">
            <w:drawing>
              <wp:anchor distT="0" distB="0" distL="114300" distR="114300" simplePos="0" relativeHeight="251739136" behindDoc="0" locked="0" layoutInCell="1" allowOverlap="1" wp14:anchorId="2725FFF6" wp14:editId="26281B61">
                <wp:simplePos x="0" y="0"/>
                <wp:positionH relativeFrom="column">
                  <wp:posOffset>5158105</wp:posOffset>
                </wp:positionH>
                <wp:positionV relativeFrom="paragraph">
                  <wp:posOffset>1919300</wp:posOffset>
                </wp:positionV>
                <wp:extent cx="420370" cy="1151255"/>
                <wp:effectExtent l="0" t="0" r="17780" b="10795"/>
                <wp:wrapNone/>
                <wp:docPr id="3" name="Rectangle 2">
                  <a:extLst xmlns:a="http://schemas.openxmlformats.org/drawingml/2006/main">
                    <a:ext uri="{FF2B5EF4-FFF2-40B4-BE49-F238E27FC236}">
                      <a16:creationId xmlns:a16="http://schemas.microsoft.com/office/drawing/2014/main" id="{F572084D-C6CD-2464-A230-8718445C1513}"/>
                    </a:ext>
                  </a:extLst>
                </wp:docPr>
                <wp:cNvGraphicFramePr/>
                <a:graphic xmlns:a="http://schemas.openxmlformats.org/drawingml/2006/main">
                  <a:graphicData uri="http://schemas.microsoft.com/office/word/2010/wordprocessingShape">
                    <wps:wsp>
                      <wps:cNvSpPr/>
                      <wps:spPr>
                        <a:xfrm>
                          <a:off x="0" y="0"/>
                          <a:ext cx="420370" cy="115125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6263BA"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6B989D27"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58D1BF0D"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019B467E"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3CEC1169"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4764C77B"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725FFF6" id="Rectangle 2" o:spid="_x0000_s1029" style="position:absolute;left:0;text-align:left;margin-left:406.15pt;margin-top:151.15pt;width:33.1pt;height:90.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kgwIAAI4FAAAOAAAAZHJzL2Uyb0RvYy54bWysVMFu2zAMvQ/YPwi6r7bTZN2COkWQosOA&#10;oi3aDj0rshQLkEVNUmJnXz9Kdpw2G3YodpEpkXwkn0leXnWNJjvhvAJT0uIsp0QYDpUym5L+eL75&#10;9IUSH5ipmAYjSroXnl4tPn64bO1cTKAGXQlHEMT4eWtLWodg51nmeS0a5s/ACoNKCa5hAa9uk1WO&#10;tYje6GyS55+zFlxlHXDhPb5e90q6SPhSCh7upfQiEF1SzC2k06VzHc9sccnmG8dsrfiQBntHFg1T&#10;BoOOUNcsMLJ16g+oRnEHHmQ449BkIKXiItWA1RT5STVPNbMi1YLkeDvS5P8fLL/bPdkHhzS01s89&#10;irGKTromfjE/0iWy9iNZoguE4+N0kp9fIKUcVUUxKyazWWQzO3pb58M3AQ2JQkkd/ozEEdvd+tCb&#10;HkxiMA9aVTdK63SJDSBW2pEdw1+33hQD+Bsrbd7liDlGz+xYcpLCXouIp82jkERVWOQkJZy68ZgM&#10;41yYUPSqmlWiz7GY5XlqKIQfPRIhCTAiS6xuxB4A3hZ6wO7pGeyjq0jNPDrn/0qsdx49UmQwYXRu&#10;lAH3NwCNVQ2Re/sDST01kaXQrTvkpqTn0TK+rKHaPzjioB8ub/mNwh9+y3x4YA6nCZsEN0S4x0Nq&#10;aEvKtbKU1OB+nb5FO2xu1FDS4lSW1P/cMico0d8Ntv3XYjqNY5wu09nFBC/utWb9WmO2zQqwewrc&#10;QZYnMdoHfRClg+YFF8gyRkUVMxxjlzQcxFXodwUuIC6Wy2SEg2tZuDVPlkfoyG5s4+fuhTk79HrA&#10;KbmDw/yy+UnL97bR08ByG0CqNA9HNgfecehTAw0LKm6V1/dkdVyji98AAAD//wMAUEsDBBQABgAI&#10;AAAAIQDT3Kxh4wAAAAsBAAAPAAAAZHJzL2Rvd25yZXYueG1sTI/BTsMwDIbvSLxDZCRuLN0KWyh1&#10;JwYCaQeQOhhwTJvQljVO1WRreXuyE7vZ8qff358uR9Oyg+5dYwlhOomAaSqtaqhCeH97uhLAnJek&#10;ZGtJI/xqB8vs/CyVibID5fqw8RULIeQSiVB73yWcu7LWRrqJ7TSF27ftjfRh7SuuejmEcNPyWRTN&#10;uZENhQ+17PRDrcvdZm8Qxq9h+7LaFY8/a67yz9Xrxza/fUa8vBjv74B5Pfp/GI76QR2y4FTYPSnH&#10;WgQxncUBRYij4xAIsRA3wAqEaxHPgWcpP+2Q/QEAAP//AwBQSwECLQAUAAYACAAAACEAtoM4kv4A&#10;AADhAQAAEwAAAAAAAAAAAAAAAAAAAAAAW0NvbnRlbnRfVHlwZXNdLnhtbFBLAQItABQABgAIAAAA&#10;IQA4/SH/1gAAAJQBAAALAAAAAAAAAAAAAAAAAC8BAABfcmVscy8ucmVsc1BLAQItABQABgAIAAAA&#10;IQDb+4CkgwIAAI4FAAAOAAAAAAAAAAAAAAAAAC4CAABkcnMvZTJvRG9jLnhtbFBLAQItABQABgAI&#10;AAAAIQDT3Kxh4wAAAAsBAAAPAAAAAAAAAAAAAAAAAN0EAABkcnMvZG93bnJldi54bWxQSwUGAAAA&#10;AAQABADzAAAA7QUAAAAA&#10;" fillcolor="white [3212]" strokecolor="white [3212]" strokeweight="2pt">
                <v:textbox>
                  <w:txbxContent>
                    <w:p w14:paraId="3A6263BA"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6B989D27"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58D1BF0D"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019B467E"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3CEC1169"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p w14:paraId="4764C77B" w14:textId="77777777" w:rsidR="003622D8" w:rsidRPr="00A20109" w:rsidRDefault="003622D8" w:rsidP="00A20109">
                      <w:pPr>
                        <w:spacing w:after="60"/>
                        <w:rPr>
                          <w:rFonts w:cs="Arial"/>
                          <w:color w:val="000000"/>
                          <w:sz w:val="16"/>
                          <w:szCs w:val="16"/>
                        </w:rPr>
                      </w:pPr>
                      <w:proofErr w:type="spellStart"/>
                      <w:r w:rsidRPr="00A20109">
                        <w:rPr>
                          <w:rFonts w:cs="Arial"/>
                          <w:color w:val="000000"/>
                          <w:sz w:val="16"/>
                          <w:szCs w:val="16"/>
                        </w:rPr>
                        <w:t>n.p.</w:t>
                      </w:r>
                      <w:proofErr w:type="spellEnd"/>
                    </w:p>
                  </w:txbxContent>
                </v:textbox>
              </v:rect>
            </w:pict>
          </mc:Fallback>
        </mc:AlternateContent>
      </w:r>
      <w:r>
        <w:rPr>
          <w:noProof/>
        </w:rPr>
        <mc:AlternateContent>
          <mc:Choice Requires="wps">
            <w:drawing>
              <wp:anchor distT="0" distB="0" distL="114300" distR="114300" simplePos="0" relativeHeight="251744256" behindDoc="0" locked="0" layoutInCell="1" allowOverlap="1" wp14:anchorId="38121A37" wp14:editId="72EE2E6D">
                <wp:simplePos x="0" y="0"/>
                <wp:positionH relativeFrom="column">
                  <wp:posOffset>4637405</wp:posOffset>
                </wp:positionH>
                <wp:positionV relativeFrom="paragraph">
                  <wp:posOffset>2380310</wp:posOffset>
                </wp:positionV>
                <wp:extent cx="420370" cy="592455"/>
                <wp:effectExtent l="0" t="0" r="0" b="0"/>
                <wp:wrapNone/>
                <wp:docPr id="2141763460" name="Rectangle 2"/>
                <wp:cNvGraphicFramePr/>
                <a:graphic xmlns:a="http://schemas.openxmlformats.org/drawingml/2006/main">
                  <a:graphicData uri="http://schemas.microsoft.com/office/word/2010/wordprocessingShape">
                    <wps:wsp>
                      <wps:cNvSpPr/>
                      <wps:spPr>
                        <a:xfrm>
                          <a:off x="0" y="0"/>
                          <a:ext cx="420370" cy="59245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27D39C"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63EDC257"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5FC72625" w14:textId="3A618CD8"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8121A37" id="_x0000_s1030" style="position:absolute;left:0;text-align:left;margin-left:365.15pt;margin-top:187.45pt;width:33.1pt;height:46.6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rUhAIAAGUFAAAOAAAAZHJzL2Uyb0RvYy54bWysVE1v2zAMvQ/YfxB0X21nyboGcYqgRYcB&#10;RRusHXpWZCkWIIuapMTOfv0o2XHabNhh2MWWRPKRfPxYXHeNJnvhvAJT0uIip0QYDpUy25J+f777&#10;8JkSH5ipmAYjSnoQnl4v379btHYuJlCDroQjCGL8vLUlrUOw8yzzvBYN8xdghUGhBNewgFe3zSrH&#10;WkRvdDbJ809ZC66yDrjwHl9veyFdJnwpBQ+PUnoRiC4pxhbS16XvJn6z5YLNt47ZWvEhDPYPUTRM&#10;GXQ6Qt2ywMjOqd+gGsUdeJDhgkOTgZSKi5QDZlPkZ9k81cyKlAuS4+1Ik/9/sPxh/2TXDmlorZ97&#10;PMYsOuma+Mf4SJfIOoxkiS4Qjo/TSf7xEinlKJpdTaazWSQzOxlb58MXAQ2Jh5I6rEWiiO3vfehV&#10;jyrRlwetqjuldbrE+osb7cieYeU222IAf6OlTdQ1EK16wPiSnTJJp3DQIupp801IoiqMfZICSU12&#10;csI4FyYUvahmleh9F7M8T32CqY0WKdEEGJEl+h+xB4C3CRyx+ygH/WgqUo+OxvnfAuuNR4vkGUwY&#10;jRtlwP0JQGNWg+de/0hST01kKXSbDrnBskbN+LKB6rB2xEE/M97yO4WFvGc+rJnDIcHa4+CHR/xI&#10;DW1JuVaWkhrcz/O3qIc9ixJKWhy2kvofO+YEJfqrwW6+KqbTOJ3pMp1dTvDiXks2ryVm19wAdkWB&#10;q8XydIz6QR+P0kHzgnthFb2iiBmOvksajseb0K8A3CtcrFZJCefRsnBvniyP0JHd2J7P3Qtzdujh&#10;gM3/AMexZPOzVu51o6WB1S6AVKnPT2wOvOMspwYa9k5cFq/vSeu0HZe/AAAA//8DAFBLAwQUAAYA&#10;CAAAACEApTlmjOAAAAALAQAADwAAAGRycy9kb3ducmV2LnhtbEyPXUvEMBBF3wX/QxjBNzd1u/20&#10;00UFQRCEXcXntJlti01SmjRb/73xyX0c7uHeM9V+VSPzNNvBaIT7TQSMdGvkoDuEz4+XuxyYdUJL&#10;MRpNCD9kYV9fX1WilOasD+SPrmOhRNtSIPTOTSXntu1JCbsxE+mQncyshAvn3HE5i3MoVyPfRlHK&#10;lRh0WOjFRM89td/HRSE0/u39yefJkn+p08G/JoWbW4l4e7M+PgBztLp/GP70gzrUwakxi5aWjQhZ&#10;HMUBRYizXQEsEFmRJsAahF2ab4HXFb/8of4FAAD//wMAUEsBAi0AFAAGAAgAAAAhALaDOJL+AAAA&#10;4QEAABMAAAAAAAAAAAAAAAAAAAAAAFtDb250ZW50X1R5cGVzXS54bWxQSwECLQAUAAYACAAAACEA&#10;OP0h/9YAAACUAQAACwAAAAAAAAAAAAAAAAAvAQAAX3JlbHMvLnJlbHNQSwECLQAUAAYACAAAACEA&#10;nNK61IQCAABlBQAADgAAAAAAAAAAAAAAAAAuAgAAZHJzL2Uyb0RvYy54bWxQSwECLQAUAAYACAAA&#10;ACEApTlmjOAAAAALAQAADwAAAAAAAAAAAAAAAADeBAAAZHJzL2Rvd25yZXYueG1sUEsFBgAAAAAE&#10;AAQA8wAAAOsFAAAAAA==&#10;" fillcolor="white [3212]" stroked="f" strokeweight="2pt">
                <v:textbox>
                  <w:txbxContent>
                    <w:p w14:paraId="0527D39C"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63EDC257"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5FC72625" w14:textId="3A618CD8"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v:textbox>
              </v:rect>
            </w:pict>
          </mc:Fallback>
        </mc:AlternateContent>
      </w:r>
      <w:r>
        <w:rPr>
          <w:noProof/>
        </w:rPr>
        <mc:AlternateContent>
          <mc:Choice Requires="wps">
            <w:drawing>
              <wp:anchor distT="0" distB="0" distL="114300" distR="114300" simplePos="0" relativeHeight="251748352" behindDoc="0" locked="0" layoutInCell="1" allowOverlap="1" wp14:anchorId="3358D62E" wp14:editId="638DC953">
                <wp:simplePos x="0" y="0"/>
                <wp:positionH relativeFrom="margin">
                  <wp:posOffset>4132580</wp:posOffset>
                </wp:positionH>
                <wp:positionV relativeFrom="paragraph">
                  <wp:posOffset>2695880</wp:posOffset>
                </wp:positionV>
                <wp:extent cx="420370" cy="387705"/>
                <wp:effectExtent l="0" t="0" r="0" b="0"/>
                <wp:wrapNone/>
                <wp:docPr id="127866349" name="Rectangle 2"/>
                <wp:cNvGraphicFramePr/>
                <a:graphic xmlns:a="http://schemas.openxmlformats.org/drawingml/2006/main">
                  <a:graphicData uri="http://schemas.microsoft.com/office/word/2010/wordprocessingShape">
                    <wps:wsp>
                      <wps:cNvSpPr/>
                      <wps:spPr>
                        <a:xfrm>
                          <a:off x="0" y="0"/>
                          <a:ext cx="420370" cy="387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1C3F2E" w14:textId="6B41B92A"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358D62E" id="_x0000_s1031" style="position:absolute;left:0;text-align:left;margin-left:325.4pt;margin-top:212.25pt;width:33.1pt;height:30.55pt;z-index:251748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8EhAIAAGUFAAAOAAAAZHJzL2Uyb0RvYy54bWysVE1v2zAMvQ/YfxB0X22n6dIFcYogRYcB&#10;RVu0HXpWZCkWIIuapMTOfv0o2XHabthh2MWWRPKRfPxYXHWNJnvhvAJT0uIsp0QYDpUy25J+f775&#10;dEmJD8xUTIMRJT0IT6+WHz8sWjsXE6hBV8IRBDF+3tqS1iHYeZZ5XouG+TOwwqBQgmtYwKvbZpVj&#10;LaI3Opvk+eesBVdZB1x4j6/XvZAuE76Ugod7Kb0IRJcUYwvp69J3E7/ZcsHmW8dsrfgQBvuHKBqm&#10;DDodoa5ZYGTn1G9QjeIOPMhwxqHJQErFRcoBsynyd9k81cyKlAuS4+1Ik/9/sPxu/2QfHNLQWj/3&#10;eIxZdNI18Y/xkS6RdRjJEl0gHB+nk/x8hpRyFJ1fzmb5RSQzOxlb58NXAQ2Jh5I6rEWiiO1vfehV&#10;jyrRlwetqhuldbrE+ou1dmTPsHKbbTGAv9HSJuoaiFY9YHzJTpmkUzhoEfW0eRSSqApjn6RAUpOd&#10;nDDOhQlFL6pZJXrfxUWepz7B1EaLlGgCjMgS/Y/YA8DbBI7YfZSDfjQVqUdH4/xvgfXGo0XyDCaM&#10;xo0y4P4EoDGrwXOvfySppyayFLpNh9yUNFUxvmygOjw44qCfGW/5jcJC3jIfHpjDIcHa4+CHe/xI&#10;DW1JuVaWkhrcz/dvUQ97FiWUtDhsJfU/dswJSvQ3g938pZhO43Smy/RiNsGLey3ZvJaYXbMG7IoC&#10;V4vl6Rj1gz4epYPmBffCKnpFETMcfZc0HI/r0K8A3CtcrFZJCefRsnBrniyP0JHd2J7P3Qtzdujh&#10;gM1/B8exZPN3rdzrRksDq10AqVKfn9gceMdZTg007J24LF7fk9ZpOy5/AQAA//8DAFBLAwQUAAYA&#10;CAAAACEAuOKfceAAAAALAQAADwAAAGRycy9kb3ducmV2LnhtbEyPUUvDMBSF3wX/Q7iCby7dWLpa&#10;mw4VBEEQNsXntMnaYnNTkjSr/97rk3s89xzO/U61X+zIkvFhcChhvcqAGWydHrCT8PnxclcAC1Gh&#10;VqNDI+HHBNjX11eVKrU748GkY+wYlWAolYQ+xqnkPLS9sSqs3GSQvJPzVkWSvuPaqzOV25Fvsizn&#10;Vg1IH3o1mefetN/H2Upo0tv7UyrEXHzZ0yG9ivvoWy3l7c3y+AAsmiX+h+EPn9ChJqbGzagDGyXk&#10;IiP0KGG72QpglNitd7SuoUshcuB1xS831L8AAAD//wMAUEsBAi0AFAAGAAgAAAAhALaDOJL+AAAA&#10;4QEAABMAAAAAAAAAAAAAAAAAAAAAAFtDb250ZW50X1R5cGVzXS54bWxQSwECLQAUAAYACAAAACEA&#10;OP0h/9YAAACUAQAACwAAAAAAAAAAAAAAAAAvAQAAX3JlbHMvLnJlbHNQSwECLQAUAAYACAAAACEA&#10;+obPBIQCAABlBQAADgAAAAAAAAAAAAAAAAAuAgAAZHJzL2Uyb0RvYy54bWxQSwECLQAUAAYACAAA&#10;ACEAuOKfceAAAAALAQAADwAAAAAAAAAAAAAAAADeBAAAZHJzL2Rvd25yZXYueG1sUEsFBgAAAAAE&#10;AAQA8wAAAOsFAAAAAA==&#10;" fillcolor="white [3212]" stroked="f" strokeweight="2pt">
                <v:textbox>
                  <w:txbxContent>
                    <w:p w14:paraId="071C3F2E" w14:textId="6B41B92A"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v:textbox>
                <w10:wrap anchorx="margin"/>
              </v:rect>
            </w:pict>
          </mc:Fallback>
        </mc:AlternateContent>
      </w:r>
      <w:r>
        <w:rPr>
          <w:noProof/>
        </w:rPr>
        <mc:AlternateContent>
          <mc:Choice Requires="wps">
            <w:drawing>
              <wp:anchor distT="0" distB="0" distL="114300" distR="114300" simplePos="0" relativeHeight="251746304" behindDoc="0" locked="0" layoutInCell="1" allowOverlap="1" wp14:anchorId="07EAE8DB" wp14:editId="55B6800B">
                <wp:simplePos x="0" y="0"/>
                <wp:positionH relativeFrom="margin">
                  <wp:posOffset>1572260</wp:posOffset>
                </wp:positionH>
                <wp:positionV relativeFrom="paragraph">
                  <wp:posOffset>2373935</wp:posOffset>
                </wp:positionV>
                <wp:extent cx="420370" cy="387705"/>
                <wp:effectExtent l="0" t="0" r="0" b="0"/>
                <wp:wrapNone/>
                <wp:docPr id="44788041" name="Rectangle 2"/>
                <wp:cNvGraphicFramePr/>
                <a:graphic xmlns:a="http://schemas.openxmlformats.org/drawingml/2006/main">
                  <a:graphicData uri="http://schemas.microsoft.com/office/word/2010/wordprocessingShape">
                    <wps:wsp>
                      <wps:cNvSpPr/>
                      <wps:spPr>
                        <a:xfrm>
                          <a:off x="0" y="0"/>
                          <a:ext cx="420370" cy="387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4F534A"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5B81B9C2" w14:textId="36849B15"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7EAE8DB" id="_x0000_s1032" style="position:absolute;left:0;text-align:left;margin-left:123.8pt;margin-top:186.9pt;width:33.1pt;height:30.55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xGhAIAAGUFAAAOAAAAZHJzL2Uyb0RvYy54bWysVMFu2zAMvQ/YPwi6r7bTtOmCOkWQosOA&#10;oi3WDj0rshQLkEVNUmJnXz9Kdpw2G3YYdrEpkXwkn0he33SNJjvhvAJT0uIsp0QYDpUym5J+f7n7&#10;dEWJD8xUTIMRJd0LT28WHz9ct3YuJlCDroQjCGL8vLUlrUOw8yzzvBYN82dghUGlBNewgEe3ySrH&#10;WkRvdDbJ88usBVdZB1x4j7e3vZIuEr6UgodHKb0IRJcUcwvp69J3Hb/Z4prNN47ZWvEhDfYPWTRM&#10;GQw6Qt2ywMjWqd+gGsUdeJDhjEOTgZSKi1QDVlPkJ9U818yKVAuS4+1Ik/9/sPxh92yfHNLQWj/3&#10;KMYqOuma+Mf8SJfI2o9kiS4QjpfTSX4+Q0o5qs6vZrP8IpKZHZ2t8+GLgIZEoaQO3yJRxHb3PvSm&#10;B5MYy4NW1Z3SOh3i+4uVdmTH8OXWm2IAf2elTbQ1EL16wHiTHStJUthrEe20+SYkURXmPkmJpCY7&#10;BmGcCxOKXlWzSvSxi4s8T32CpY0eqdAEGJElxh+xB4D3BRyw+ywH++gqUo+OzvnfEuudR48UGUwY&#10;nRtlwP0JQGNVQ+Te/kBST01kKXTrDrkp6WW0jDdrqPZPjjjoZ8ZbfqfwIe+ZD0/M4ZDg2+Pgh0f8&#10;SA1tSblWlpIa3M/Tu2iHPYsaSloctpL6H1vmBCX6q8Fu/lxMp3E602F6MZvgwb3VrN9qzLZZAXZF&#10;gavF8iRG+6APonTQvOJeWMaoqGKGY+yShoO4Cv0KwL3CxXKZjHAeLQv35tnyCB3Zje350r0yZ4ce&#10;Dtj8D3AYSzY/aeXeNnoaWG4DSJX6/MjmwDvOcmqgYe/EZfH2nKyO23HxCwAA//8DAFBLAwQUAAYA&#10;CAAAACEAKc9fIuEAAAALAQAADwAAAGRycy9kb3ducmV2LnhtbEyPUUvDMBDH3wW/QzjBN5du7bau&#10;Nh0qCIIgbIrPaXNri01SkjSr397bk3u743787/cv97MeWETne2sELBcJMDSNVb1pBXx9vj7kwHyQ&#10;RsnBGhTwix721e1NKQtlz+aA8RhaRiHGF1JAF8JYcO6bDrX0CzuiodvJOi0Dra7lyskzheuBr5Jk&#10;w7XsDX3o5IgvHTY/x0kLqOP7x3PM11P+rU+H+LbeBdcoIe7v5qdHYAHn8A/DRZ/UoSKn2k5GeTYI&#10;WGXbDaEC0m1KHYhIl5ehFpCl2Q54VfLrDtUfAAAA//8DAFBLAQItABQABgAIAAAAIQC2gziS/gAA&#10;AOEBAAATAAAAAAAAAAAAAAAAAAAAAABbQ29udGVudF9UeXBlc10ueG1sUEsBAi0AFAAGAAgAAAAh&#10;ADj9If/WAAAAlAEAAAsAAAAAAAAAAAAAAAAALwEAAF9yZWxzLy5yZWxzUEsBAi0AFAAGAAgAAAAh&#10;AKsQPEaEAgAAZQUAAA4AAAAAAAAAAAAAAAAALgIAAGRycy9lMm9Eb2MueG1sUEsBAi0AFAAGAAgA&#10;AAAhACnPXyLhAAAACwEAAA8AAAAAAAAAAAAAAAAA3gQAAGRycy9kb3ducmV2LnhtbFBLBQYAAAAA&#10;BAAEAPMAAADsBQAAAAA=&#10;" fillcolor="white [3212]" stroked="f" strokeweight="2pt">
                <v:textbox>
                  <w:txbxContent>
                    <w:p w14:paraId="164F534A"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5B81B9C2" w14:textId="36849B15"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v:textbox>
                <w10:wrap anchorx="margin"/>
              </v:rect>
            </w:pict>
          </mc:Fallback>
        </mc:AlternateContent>
      </w:r>
      <w:r w:rsidR="00DB6816">
        <w:rPr>
          <w:noProof/>
        </w:rPr>
        <w:drawing>
          <wp:inline distT="0" distB="0" distL="0" distR="0" wp14:anchorId="7DF70D25" wp14:editId="14CCB174">
            <wp:extent cx="6230620" cy="3225165"/>
            <wp:effectExtent l="0" t="0" r="0" b="0"/>
            <wp:docPr id="17704154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30620" cy="3225165"/>
                    </a:xfrm>
                    <a:prstGeom prst="rect">
                      <a:avLst/>
                    </a:prstGeom>
                    <a:noFill/>
                  </pic:spPr>
                </pic:pic>
              </a:graphicData>
            </a:graphic>
          </wp:inline>
        </w:drawing>
      </w:r>
    </w:p>
    <w:p w14:paraId="1171E0F2" w14:textId="6A8C9749" w:rsidR="00DB6816" w:rsidRDefault="00DB6816" w:rsidP="00DB6816">
      <w:pPr>
        <w:rPr>
          <w:sz w:val="16"/>
          <w:szCs w:val="20"/>
        </w:rPr>
      </w:pPr>
      <w:r>
        <w:rPr>
          <w:sz w:val="16"/>
          <w:szCs w:val="20"/>
        </w:rPr>
        <w:t>Some v</w:t>
      </w:r>
      <w:r w:rsidRPr="00896069">
        <w:rPr>
          <w:sz w:val="16"/>
          <w:szCs w:val="20"/>
        </w:rPr>
        <w:t xml:space="preserve">alues </w:t>
      </w:r>
      <w:r>
        <w:rPr>
          <w:sz w:val="16"/>
          <w:szCs w:val="20"/>
        </w:rPr>
        <w:t xml:space="preserve">for the Australian Capital Territory, South Australia, </w:t>
      </w:r>
      <w:r w:rsidR="009C422D">
        <w:rPr>
          <w:sz w:val="16"/>
          <w:szCs w:val="20"/>
        </w:rPr>
        <w:t>Tasmania,</w:t>
      </w:r>
      <w:r>
        <w:rPr>
          <w:sz w:val="16"/>
          <w:szCs w:val="20"/>
        </w:rPr>
        <w:t xml:space="preserve"> and the Northern Territory </w:t>
      </w:r>
      <w:r w:rsidRPr="00896069">
        <w:rPr>
          <w:sz w:val="16"/>
          <w:szCs w:val="20"/>
        </w:rPr>
        <w:t>have been suppressed.</w:t>
      </w:r>
    </w:p>
    <w:p w14:paraId="3848A6D2" w14:textId="6900A02D" w:rsidR="003E25A6" w:rsidRDefault="003E25A6">
      <w:pPr>
        <w:spacing w:after="200" w:line="276" w:lineRule="auto"/>
        <w:jc w:val="left"/>
        <w:rPr>
          <w:rFonts w:ascii="Arial Bold" w:eastAsiaTheme="majorEastAsia" w:hAnsi="Arial Bold" w:cs="Arial"/>
          <w:b/>
          <w:kern w:val="32"/>
          <w:sz w:val="28"/>
          <w:szCs w:val="22"/>
        </w:rPr>
      </w:pPr>
    </w:p>
    <w:p w14:paraId="01826E71" w14:textId="50F25848" w:rsidR="00F22966" w:rsidRPr="00086AB2" w:rsidRDefault="00781310" w:rsidP="00C03259">
      <w:pPr>
        <w:pStyle w:val="Heading1"/>
        <w:spacing w:before="120"/>
      </w:pPr>
      <w:bookmarkStart w:id="98" w:name="_Toc150245715"/>
      <w:r w:rsidRPr="00086AB2">
        <w:t>F</w:t>
      </w:r>
      <w:r w:rsidR="001978D9" w:rsidRPr="00086AB2">
        <w:t>inancial and insurance services</w:t>
      </w:r>
      <w:bookmarkEnd w:id="98"/>
      <w:r w:rsidR="00A96678">
        <w:t xml:space="preserve"> </w:t>
      </w:r>
    </w:p>
    <w:p w14:paraId="64E8E33C" w14:textId="0309A260" w:rsidR="007938AC" w:rsidRPr="00086AB2" w:rsidRDefault="003A1B9E" w:rsidP="0031228B">
      <w:pPr>
        <w:pStyle w:val="Heading3"/>
      </w:pPr>
      <w:bookmarkStart w:id="99" w:name="_Toc150245716"/>
      <w:bookmarkStart w:id="100" w:name="_Hlk56772945"/>
      <w:r>
        <w:t>Frequency</w:t>
      </w:r>
      <w:r w:rsidRPr="00086AB2">
        <w:t xml:space="preserve"> </w:t>
      </w:r>
      <w:r w:rsidR="007938AC" w:rsidRPr="00086AB2">
        <w:t xml:space="preserve">rates of serious claims for </w:t>
      </w:r>
      <w:r w:rsidR="009D46FF" w:rsidRPr="00086AB2">
        <w:t>F</w:t>
      </w:r>
      <w:r w:rsidR="007938AC" w:rsidRPr="00086AB2">
        <w:t>inancial and insurance services by</w:t>
      </w:r>
      <w:r w:rsidR="00E55876" w:rsidRPr="00086AB2">
        <w:t> </w:t>
      </w:r>
      <w:r w:rsidR="007938AC" w:rsidRPr="00086AB2">
        <w:t>jurisdiction</w:t>
      </w:r>
      <w:r w:rsidR="006F4EC3">
        <w:t xml:space="preserve"> (previously i</w:t>
      </w:r>
      <w:r w:rsidR="006F4EC3" w:rsidRPr="00086AB2">
        <w:t>ndicator 11</w:t>
      </w:r>
      <w:r w:rsidR="006F4EC3" w:rsidRPr="00086AB2">
        <w:rPr>
          <w:noProof/>
        </w:rPr>
        <w:fldChar w:fldCharType="begin"/>
      </w:r>
      <w:r w:rsidR="006F4EC3" w:rsidRPr="00086AB2">
        <w:rPr>
          <w:noProof/>
        </w:rPr>
        <w:instrText xml:space="preserve"> SEQ Indicator_11 \* alphabetic </w:instrText>
      </w:r>
      <w:r w:rsidR="006F4EC3" w:rsidRPr="00086AB2">
        <w:rPr>
          <w:noProof/>
        </w:rPr>
        <w:fldChar w:fldCharType="separate"/>
      </w:r>
      <w:r w:rsidR="006F4EC3">
        <w:rPr>
          <w:noProof/>
        </w:rPr>
        <w:t>k</w:t>
      </w:r>
      <w:r w:rsidR="006F4EC3" w:rsidRPr="00086AB2">
        <w:rPr>
          <w:noProof/>
        </w:rPr>
        <w:fldChar w:fldCharType="end"/>
      </w:r>
      <w:r w:rsidR="006F4EC3">
        <w:rPr>
          <w:noProof/>
        </w:rPr>
        <w:t>)</w:t>
      </w:r>
      <w:bookmarkEnd w:id="99"/>
    </w:p>
    <w:bookmarkEnd w:id="100"/>
    <w:p w14:paraId="1629D099" w14:textId="2E1E292A" w:rsidR="00781310" w:rsidRPr="00086AB2" w:rsidRDefault="00B07C83" w:rsidP="00402DCC">
      <w:pPr>
        <w:spacing w:after="0"/>
      </w:pPr>
      <w:r>
        <w:rPr>
          <w:noProof/>
        </w:rPr>
        <mc:AlternateContent>
          <mc:Choice Requires="wps">
            <w:drawing>
              <wp:anchor distT="0" distB="0" distL="114300" distR="114300" simplePos="0" relativeHeight="251752448" behindDoc="0" locked="0" layoutInCell="1" allowOverlap="1" wp14:anchorId="561E0680" wp14:editId="0598FB63">
                <wp:simplePos x="0" y="0"/>
                <wp:positionH relativeFrom="column">
                  <wp:posOffset>4513580</wp:posOffset>
                </wp:positionH>
                <wp:positionV relativeFrom="paragraph">
                  <wp:posOffset>1740840</wp:posOffset>
                </wp:positionV>
                <wp:extent cx="420370" cy="1026897"/>
                <wp:effectExtent l="0" t="0" r="0" b="1905"/>
                <wp:wrapNone/>
                <wp:docPr id="272998896" name="Rectangle 2"/>
                <wp:cNvGraphicFramePr/>
                <a:graphic xmlns:a="http://schemas.openxmlformats.org/drawingml/2006/main">
                  <a:graphicData uri="http://schemas.microsoft.com/office/word/2010/wordprocessingShape">
                    <wps:wsp>
                      <wps:cNvSpPr/>
                      <wps:spPr>
                        <a:xfrm>
                          <a:off x="0" y="0"/>
                          <a:ext cx="420370" cy="102689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5DCDEF"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26B2156E" w14:textId="183E33B9" w:rsidR="00B07C83" w:rsidRPr="00A20109" w:rsidRDefault="00B07C83" w:rsidP="00A20109">
                            <w:pPr>
                              <w:spacing w:after="60"/>
                              <w:rPr>
                                <w:rFonts w:cs="Arial"/>
                                <w:color w:val="000000"/>
                                <w:sz w:val="16"/>
                                <w:szCs w:val="16"/>
                              </w:rPr>
                            </w:pPr>
                            <w:r>
                              <w:rPr>
                                <w:rFonts w:cs="Arial"/>
                                <w:color w:val="000000"/>
                                <w:sz w:val="16"/>
                                <w:szCs w:val="16"/>
                              </w:rPr>
                              <w:t>1.8</w:t>
                            </w:r>
                          </w:p>
                          <w:p w14:paraId="18ECDB01"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519A7820" w14:textId="2552F170" w:rsidR="00B07C83" w:rsidRPr="00A20109" w:rsidRDefault="00B07C83" w:rsidP="00A20109">
                            <w:pPr>
                              <w:spacing w:after="60"/>
                              <w:rPr>
                                <w:rFonts w:cs="Arial"/>
                                <w:color w:val="000000"/>
                                <w:sz w:val="16"/>
                                <w:szCs w:val="16"/>
                              </w:rPr>
                            </w:pPr>
                            <w:r>
                              <w:rPr>
                                <w:rFonts w:cs="Arial"/>
                                <w:color w:val="000000"/>
                                <w:sz w:val="16"/>
                                <w:szCs w:val="16"/>
                              </w:rPr>
                              <w:t>1.6</w:t>
                            </w:r>
                          </w:p>
                          <w:p w14:paraId="2DFF3765" w14:textId="7A05161F" w:rsidR="00B07C83" w:rsidRPr="00A20109" w:rsidRDefault="00B07C83" w:rsidP="00A20109">
                            <w:pPr>
                              <w:spacing w:after="60"/>
                              <w:rPr>
                                <w:rFonts w:cs="Arial"/>
                                <w:color w:val="000000"/>
                                <w:sz w:val="16"/>
                                <w:szCs w:val="16"/>
                              </w:rPr>
                            </w:pPr>
                            <w:r>
                              <w:rPr>
                                <w:rFonts w:cs="Arial"/>
                                <w:color w:val="000000"/>
                                <w:sz w:val="16"/>
                                <w:szCs w:val="16"/>
                              </w:rPr>
                              <w:t>0.8</w:t>
                            </w:r>
                          </w:p>
                          <w:p w14:paraId="32FCFA61"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61E0680" id="_x0000_s1033" style="position:absolute;left:0;text-align:left;margin-left:355.4pt;margin-top:137.05pt;width:33.1pt;height:80.8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OehAIAAGYFAAAOAAAAZHJzL2Uyb0RvYy54bWysVE1v2zAMvQ/YfxB0X21n6VcQpwhadBhQ&#10;tMHaoWdFlmIBsqhJSuzs14+SHSfthh2GXWxKJB/JJ5Lzm67RZCecV2BKWpzllAjDoVJmU9LvL/ef&#10;rijxgZmKaTCipHvh6c3i44d5a2diAjXoSjiCIMbPWlvSOgQ7yzLPa9EwfwZWGFRKcA0LeHSbrHKs&#10;RfRGZ5M8v8hacJV1wIX3eHvXK+ki4UspeHiS0otAdEkxt5C+Ln3X8Zst5my2cczWig9psH/IomHK&#10;YNAR6o4FRrZO/QbVKO7AgwxnHJoMpFRcpBqwmiJ/V81zzaxItSA53o40+f8Hyx93z3blkIbW+plH&#10;MVbRSdfEP+ZHukTWfiRLdIFwvJxO8s+XSClHVZFPLq6uLyOb2dHbOh++CGhIFErq8DESR2z34ENv&#10;ejCJwTxoVd0rrdMhNoC41Y7sGD7delMM4G+stIm2BqJXDxhvsmMpSQp7LaKdNt+EJKrC5CcpkdRl&#10;xyCMc2FC0atqVok+dnGe56lRsLTRIxWaACOyxPgj9gDwtoADdp/lYB9dRWrS0Tn/W2K98+iRIoMJ&#10;o3OjDLg/AWisaojc2x9I6qmJLIVu3SE3JU2vGG/WUO1Xjjjoh8Zbfq/wIR+YDyvmcErw8XHywxN+&#10;pIa2pFwrS0kN7uf7u2iHTYsaSlqctpL6H1vmBCX6q8F2vi6m0zie6TA9v5zgwZ1q1qcas21uAbui&#10;wN1ieRKjfdAHUTpoXnExLGNUVDHDMXZJw0G8Df0OwMXCxXKZjHAgLQsP5tnyCB3Zje350r0yZ4ce&#10;Dtj9j3CYSzZ718q9bfQ0sNwGkCr1+ZHNgXcc5tRAw+KJ2+L0nKyO63HxCwAA//8DAFBLAwQUAAYA&#10;CAAAACEAC70l3+AAAAALAQAADwAAAGRycy9kb3ducmV2LnhtbEyPQUvEMBSE74L/ITzBm5t23Zpu&#10;t+migiAIC7uK57R52xabl5Kk3frvjSc9DjPMfFPuFzOwGZ3vLUlIVwkwpMbqnloJH+8vdzkwHxRp&#10;NVhCCd/oYV9dX5Wq0PZCR5xPoWWxhHyhJHQhjAXnvunQKL+yI1L0ztYZFaJ0LddOXWK5Gfg6SR64&#10;UT3FhU6N+Nxh83WajIR6fjs8zXk25Z/mfJxfs21wjZby9mZ53AELuIS/MPziR3SoIlNtJ9KeDRJE&#10;mkT0IGEtNimwmBBCxHe1hM19lgOvSv7/Q/UDAAD//wMAUEsBAi0AFAAGAAgAAAAhALaDOJL+AAAA&#10;4QEAABMAAAAAAAAAAAAAAAAAAAAAAFtDb250ZW50X1R5cGVzXS54bWxQSwECLQAUAAYACAAAACEA&#10;OP0h/9YAAACUAQAACwAAAAAAAAAAAAAAAAAvAQAAX3JlbHMvLnJlbHNQSwECLQAUAAYACAAAACEA&#10;bmgDnoQCAABmBQAADgAAAAAAAAAAAAAAAAAuAgAAZHJzL2Uyb0RvYy54bWxQSwECLQAUAAYACAAA&#10;ACEAC70l3+AAAAALAQAADwAAAAAAAAAAAAAAAADeBAAAZHJzL2Rvd25yZXYueG1sUEsFBgAAAAAE&#10;AAQA8wAAAOsFAAAAAA==&#10;" fillcolor="white [3212]" stroked="f" strokeweight="2pt">
                <v:textbox>
                  <w:txbxContent>
                    <w:p w14:paraId="215DCDEF"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26B2156E" w14:textId="183E33B9" w:rsidR="00B07C83" w:rsidRPr="00A20109" w:rsidRDefault="00B07C83" w:rsidP="00A20109">
                      <w:pPr>
                        <w:spacing w:after="60"/>
                        <w:rPr>
                          <w:rFonts w:cs="Arial"/>
                          <w:color w:val="000000"/>
                          <w:sz w:val="16"/>
                          <w:szCs w:val="16"/>
                        </w:rPr>
                      </w:pPr>
                      <w:r>
                        <w:rPr>
                          <w:rFonts w:cs="Arial"/>
                          <w:color w:val="000000"/>
                          <w:sz w:val="16"/>
                          <w:szCs w:val="16"/>
                        </w:rPr>
                        <w:t>1.8</w:t>
                      </w:r>
                    </w:p>
                    <w:p w14:paraId="18ECDB01"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519A7820" w14:textId="2552F170" w:rsidR="00B07C83" w:rsidRPr="00A20109" w:rsidRDefault="00B07C83" w:rsidP="00A20109">
                      <w:pPr>
                        <w:spacing w:after="60"/>
                        <w:rPr>
                          <w:rFonts w:cs="Arial"/>
                          <w:color w:val="000000"/>
                          <w:sz w:val="16"/>
                          <w:szCs w:val="16"/>
                        </w:rPr>
                      </w:pPr>
                      <w:r>
                        <w:rPr>
                          <w:rFonts w:cs="Arial"/>
                          <w:color w:val="000000"/>
                          <w:sz w:val="16"/>
                          <w:szCs w:val="16"/>
                        </w:rPr>
                        <w:t>1.6</w:t>
                      </w:r>
                    </w:p>
                    <w:p w14:paraId="2DFF3765" w14:textId="7A05161F" w:rsidR="00B07C83" w:rsidRPr="00A20109" w:rsidRDefault="00B07C83" w:rsidP="00A20109">
                      <w:pPr>
                        <w:spacing w:after="60"/>
                        <w:rPr>
                          <w:rFonts w:cs="Arial"/>
                          <w:color w:val="000000"/>
                          <w:sz w:val="16"/>
                          <w:szCs w:val="16"/>
                        </w:rPr>
                      </w:pPr>
                      <w:r>
                        <w:rPr>
                          <w:rFonts w:cs="Arial"/>
                          <w:color w:val="000000"/>
                          <w:sz w:val="16"/>
                          <w:szCs w:val="16"/>
                        </w:rPr>
                        <w:t>0.8</w:t>
                      </w:r>
                    </w:p>
                    <w:p w14:paraId="32FCFA61"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v:textbox>
              </v:rect>
            </w:pict>
          </mc:Fallback>
        </mc:AlternateContent>
      </w:r>
      <w:r>
        <w:rPr>
          <w:noProof/>
        </w:rPr>
        <mc:AlternateContent>
          <mc:Choice Requires="wps">
            <w:drawing>
              <wp:anchor distT="0" distB="0" distL="114300" distR="114300" simplePos="0" relativeHeight="251750400" behindDoc="0" locked="0" layoutInCell="1" allowOverlap="1" wp14:anchorId="580B66CD" wp14:editId="151DD12A">
                <wp:simplePos x="0" y="0"/>
                <wp:positionH relativeFrom="column">
                  <wp:posOffset>5005070</wp:posOffset>
                </wp:positionH>
                <wp:positionV relativeFrom="paragraph">
                  <wp:posOffset>1752905</wp:posOffset>
                </wp:positionV>
                <wp:extent cx="420370" cy="1026897"/>
                <wp:effectExtent l="0" t="0" r="0" b="1905"/>
                <wp:wrapNone/>
                <wp:docPr id="1923834824" name="Rectangle 2"/>
                <wp:cNvGraphicFramePr/>
                <a:graphic xmlns:a="http://schemas.openxmlformats.org/drawingml/2006/main">
                  <a:graphicData uri="http://schemas.microsoft.com/office/word/2010/wordprocessingShape">
                    <wps:wsp>
                      <wps:cNvSpPr/>
                      <wps:spPr>
                        <a:xfrm>
                          <a:off x="0" y="0"/>
                          <a:ext cx="420370" cy="102689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B68503"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3019B4B5"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65365DE4"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71BCE15F"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761EE8C7"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AD51075"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80B66CD" id="_x0000_s1034" style="position:absolute;left:0;text-align:left;margin-left:394.1pt;margin-top:138pt;width:33.1pt;height:80.8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8MhQIAAGYFAAAOAAAAZHJzL2Uyb0RvYy54bWysVE1v2zAMvQ/YfxB0X21n6VdQpwhSdBhQ&#10;tMHaoWdFlmIBsqhJSuzs14+SHSfthh2GXWRKJB/JZ5I3t12jyU44r8CUtDjLKRGGQ6XMpqTfX+4/&#10;XVHiAzMV02BESffC09v5xw83rZ2JCdSgK+EIghg/a21J6xDsLMs8r0XD/BlYYVApwTUs4NVtssqx&#10;FtEbnU3y/CJrwVXWARfe4+tdr6TzhC+l4OFJSi8C0SXF3EI6XTrX8czmN2y2cczWig9psH/IomHK&#10;YNAR6o4FRrZO/QbVKO7AgwxnHJoMpFRcpBqwmiJ/V81zzaxItSA53o40+f8Hyx93z3blkIbW+plH&#10;MVbRSdfEL+ZHukTWfiRLdIFwfJxO8s+XSClHVZFPLq6uLyOb2dHbOh++CGhIFErq8GckjtjuwYfe&#10;9GASg3nQqrpXWqdLbACx1I7sGP669aYYwN9YaRNtDUSvHjC+ZMdSkhT2WkQ7bb4JSVSFyU9SIqnL&#10;jkEY58KEolfVrBJ97OI8z1OjYGmjRyo0AUZkifFH7AHgbQEH7D7LwT66itSko3P+t8R659EjRQYT&#10;RudGGXB/AtBY1RC5tz+Q1FMTWQrdukNuSnoVLePLGqr9yhEH/dB4y+8V/sgH5sOKOZwS/Pk4+eEJ&#10;D6mhLSnXylJSg/v5/i3aYdOihpIWp62k/seWOUGJ/mqwna+L6TSOZ7pMzy8neHGnmvWpxmybJWBX&#10;FLhbLE9itA/6IEoHzSsuhkWMiipmOMYuaTiIy9DvAFwsXCwWyQgH0rLwYJ4tj9CR3dieL90rc3bo&#10;4YDd/wiHuWSzd63c20ZPA4ttAKlSnx/ZHHjHYU4NNCyeuC1O78nquB7nvwAAAP//AwBQSwMEFAAG&#10;AAgAAAAhAI8OKtPgAAAACwEAAA8AAABkcnMvZG93bnJldi54bWxMj0FLxDAQhe+C/yGM4M1Nre02&#10;1k4XFQRBEHYVz2mTbYtNUpK0W/+948k9DvPx3veq3WpGtmgfBmcRbjcJMG1bpwbbIXx+vNwIYCFK&#10;q+TorEb40QF29eVFJUvlTnavl0PsGIXYUEqEPsap5Dy0vTYybNykLf2OzhsZ6fQdV16eKNyMPE2S&#10;LTdysNTQy0k/97r9PswGoVne3p8Wkc/iyxz3y2t+H32rEK+v1scHYFGv8R+GP31Sh5qcGjdbFdiI&#10;UAiREoqQFlsaRYTIswxYg5DdFQXwuuLnG+pfAAAA//8DAFBLAQItABQABgAIAAAAIQC2gziS/gAA&#10;AOEBAAATAAAAAAAAAAAAAAAAAAAAAABbQ29udGVudF9UeXBlc10ueG1sUEsBAi0AFAAGAAgAAAAh&#10;ADj9If/WAAAAlAEAAAsAAAAAAAAAAAAAAAAALwEAAF9yZWxzLy5yZWxzUEsBAi0AFAAGAAgAAAAh&#10;ADqhTwyFAgAAZgUAAA4AAAAAAAAAAAAAAAAALgIAAGRycy9lMm9Eb2MueG1sUEsBAi0AFAAGAAgA&#10;AAAhAI8OKtPgAAAACwEAAA8AAAAAAAAAAAAAAAAA3wQAAGRycy9kb3ducmV2LnhtbFBLBQYAAAAA&#10;BAAEAPMAAADsBQAAAAA=&#10;" fillcolor="white [3212]" stroked="f" strokeweight="2pt">
                <v:textbox>
                  <w:txbxContent>
                    <w:p w14:paraId="77B68503"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3019B4B5"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65365DE4"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71BCE15F"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761EE8C7"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AD51075"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v:textbox>
              </v:rect>
            </w:pict>
          </mc:Fallback>
        </mc:AlternateContent>
      </w:r>
      <w:r w:rsidR="00143588">
        <w:rPr>
          <w:noProof/>
        </w:rPr>
        <w:drawing>
          <wp:inline distT="0" distB="0" distL="0" distR="0" wp14:anchorId="0B74A8FA" wp14:editId="452C8044">
            <wp:extent cx="6062774" cy="3019647"/>
            <wp:effectExtent l="0" t="0" r="0" b="9525"/>
            <wp:docPr id="3613456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67637" cy="3022069"/>
                    </a:xfrm>
                    <a:prstGeom prst="rect">
                      <a:avLst/>
                    </a:prstGeom>
                    <a:noFill/>
                  </pic:spPr>
                </pic:pic>
              </a:graphicData>
            </a:graphic>
          </wp:inline>
        </w:drawing>
      </w:r>
    </w:p>
    <w:p w14:paraId="44483A93" w14:textId="7CA5C51F" w:rsidR="000D785F" w:rsidRDefault="00143588" w:rsidP="00143588">
      <w:pPr>
        <w:rPr>
          <w:sz w:val="16"/>
          <w:szCs w:val="20"/>
        </w:rPr>
      </w:pPr>
      <w:r>
        <w:rPr>
          <w:sz w:val="16"/>
          <w:szCs w:val="20"/>
        </w:rPr>
        <w:t>Some v</w:t>
      </w:r>
      <w:r w:rsidRPr="00896069">
        <w:rPr>
          <w:sz w:val="16"/>
          <w:szCs w:val="20"/>
        </w:rPr>
        <w:t xml:space="preserve">alues </w:t>
      </w:r>
      <w:r>
        <w:rPr>
          <w:sz w:val="16"/>
          <w:szCs w:val="20"/>
        </w:rPr>
        <w:t xml:space="preserve">for the Australian Capital Territory and the Northern Territory </w:t>
      </w:r>
      <w:r w:rsidRPr="00896069">
        <w:rPr>
          <w:sz w:val="16"/>
          <w:szCs w:val="20"/>
        </w:rPr>
        <w:t>have been suppressed.</w:t>
      </w:r>
    </w:p>
    <w:p w14:paraId="38B408E8" w14:textId="77777777" w:rsidR="003E25A6" w:rsidRDefault="003E25A6">
      <w:pPr>
        <w:spacing w:after="200" w:line="276" w:lineRule="auto"/>
        <w:jc w:val="left"/>
        <w:rPr>
          <w:rFonts w:ascii="Arial Bold" w:eastAsiaTheme="majorEastAsia" w:hAnsi="Arial Bold" w:cs="Arial"/>
          <w:b/>
          <w:kern w:val="32"/>
          <w:sz w:val="28"/>
          <w:szCs w:val="22"/>
        </w:rPr>
      </w:pPr>
      <w:r>
        <w:br w:type="page"/>
      </w:r>
    </w:p>
    <w:p w14:paraId="6C472257" w14:textId="39E44196" w:rsidR="0051247F" w:rsidRDefault="00781310" w:rsidP="007207F7">
      <w:pPr>
        <w:pStyle w:val="Heading1"/>
      </w:pPr>
      <w:bookmarkStart w:id="101" w:name="_Toc150245717"/>
      <w:r w:rsidRPr="00086AB2">
        <w:lastRenderedPageBreak/>
        <w:t xml:space="preserve">Rental, </w:t>
      </w:r>
      <w:r w:rsidR="001978D9" w:rsidRPr="00086AB2">
        <w:t xml:space="preserve">hiring and real estate </w:t>
      </w:r>
      <w:proofErr w:type="gramStart"/>
      <w:r w:rsidR="001978D9" w:rsidRPr="00086AB2">
        <w:t>services</w:t>
      </w:r>
      <w:bookmarkEnd w:id="101"/>
      <w:proofErr w:type="gramEnd"/>
      <w:r w:rsidR="00A579E3">
        <w:t xml:space="preserve"> </w:t>
      </w:r>
    </w:p>
    <w:p w14:paraId="7542F344" w14:textId="3F44D118" w:rsidR="00F17473" w:rsidRPr="00086AB2" w:rsidRDefault="003A1B9E" w:rsidP="007C5139">
      <w:pPr>
        <w:pStyle w:val="Heading3"/>
        <w:spacing w:before="120" w:after="60"/>
      </w:pPr>
      <w:bookmarkStart w:id="102" w:name="_Toc150245718"/>
      <w:bookmarkStart w:id="103" w:name="_Hlk56772954"/>
      <w:r>
        <w:t>Frequency</w:t>
      </w:r>
      <w:r w:rsidRPr="00086AB2">
        <w:t xml:space="preserve"> </w:t>
      </w:r>
      <w:r w:rsidR="00F17473" w:rsidRPr="00086AB2">
        <w:t xml:space="preserve">rates of serious claims for </w:t>
      </w:r>
      <w:r w:rsidR="009D46FF" w:rsidRPr="00086AB2">
        <w:t>R</w:t>
      </w:r>
      <w:r w:rsidR="00F17473" w:rsidRPr="00086AB2">
        <w:t>ental, hiring and real estate services by</w:t>
      </w:r>
      <w:r w:rsidR="00E55876" w:rsidRPr="00086AB2">
        <w:t> </w:t>
      </w:r>
      <w:r w:rsidR="00F17473" w:rsidRPr="00086AB2">
        <w:t>jurisdiction</w:t>
      </w:r>
      <w:r w:rsidR="006F4EC3">
        <w:t xml:space="preserve"> (previously i</w:t>
      </w:r>
      <w:r w:rsidR="006F4EC3" w:rsidRPr="00086AB2">
        <w:t>ndicator 11</w:t>
      </w:r>
      <w:r w:rsidR="006F4EC3" w:rsidRPr="00086AB2">
        <w:rPr>
          <w:noProof/>
        </w:rPr>
        <w:fldChar w:fldCharType="begin"/>
      </w:r>
      <w:r w:rsidR="006F4EC3" w:rsidRPr="00086AB2">
        <w:rPr>
          <w:noProof/>
        </w:rPr>
        <w:instrText xml:space="preserve"> SEQ Indicator_11 \* alphabetic </w:instrText>
      </w:r>
      <w:r w:rsidR="006F4EC3" w:rsidRPr="00086AB2">
        <w:rPr>
          <w:noProof/>
        </w:rPr>
        <w:fldChar w:fldCharType="separate"/>
      </w:r>
      <w:r w:rsidR="006F4EC3">
        <w:rPr>
          <w:noProof/>
        </w:rPr>
        <w:t>l</w:t>
      </w:r>
      <w:r w:rsidR="006F4EC3" w:rsidRPr="00086AB2">
        <w:rPr>
          <w:noProof/>
        </w:rPr>
        <w:fldChar w:fldCharType="end"/>
      </w:r>
      <w:r w:rsidR="006F4EC3">
        <w:rPr>
          <w:noProof/>
        </w:rPr>
        <w:t>)</w:t>
      </w:r>
      <w:bookmarkEnd w:id="102"/>
    </w:p>
    <w:bookmarkEnd w:id="103"/>
    <w:p w14:paraId="66939AB5" w14:textId="2751468A" w:rsidR="0051247F" w:rsidRPr="00086AB2" w:rsidRDefault="00B07C83" w:rsidP="00F60444">
      <w:pPr>
        <w:spacing w:after="0"/>
        <w:jc w:val="center"/>
      </w:pPr>
      <w:r>
        <w:rPr>
          <w:noProof/>
        </w:rPr>
        <mc:AlternateContent>
          <mc:Choice Requires="wps">
            <w:drawing>
              <wp:anchor distT="0" distB="0" distL="114300" distR="114300" simplePos="0" relativeHeight="251756544" behindDoc="0" locked="0" layoutInCell="1" allowOverlap="1" wp14:anchorId="740BF0E0" wp14:editId="78585923">
                <wp:simplePos x="0" y="0"/>
                <wp:positionH relativeFrom="margin">
                  <wp:posOffset>4514850</wp:posOffset>
                </wp:positionH>
                <wp:positionV relativeFrom="paragraph">
                  <wp:posOffset>2490140</wp:posOffset>
                </wp:positionV>
                <wp:extent cx="420370" cy="226771"/>
                <wp:effectExtent l="0" t="0" r="0" b="1905"/>
                <wp:wrapNone/>
                <wp:docPr id="664278053" name="Rectangle 2"/>
                <wp:cNvGraphicFramePr/>
                <a:graphic xmlns:a="http://schemas.openxmlformats.org/drawingml/2006/main">
                  <a:graphicData uri="http://schemas.microsoft.com/office/word/2010/wordprocessingShape">
                    <wps:wsp>
                      <wps:cNvSpPr/>
                      <wps:spPr>
                        <a:xfrm>
                          <a:off x="0" y="0"/>
                          <a:ext cx="420370" cy="22677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358C88" w14:textId="3D66F6ED"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40BF0E0" id="_x0000_s1035" style="position:absolute;left:0;text-align:left;margin-left:355.5pt;margin-top:196.05pt;width:33.1pt;height:17.8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ynhAIAAGUFAAAOAAAAZHJzL2Uyb0RvYy54bWysVE1v2zAMvQ/YfxB0X/2xtFmDOkXQosOA&#10;oi3aDj0rshQLkEVNUmJnv36U7DhtN+ww7GJTIvlIPpG8uOxbTXbCeQWmosVJTokwHGplNhX9/nzz&#10;6QslPjBTMw1GVHQvPL1cfvxw0dmFKKEBXQtHEMT4RWcr2oRgF1nmeSNa5k/ACoNKCa5lAY9uk9WO&#10;dYje6qzM87OsA1dbB1x4j7fXg5IuE76Ugod7Kb0IRFcUcwvp69J3Hb/Z8oItNo7ZRvExDfYPWbRM&#10;GQw6QV2zwMjWqd+gWsUdeJDhhEObgZSKi1QDVlPk76p5apgVqRYkx9uJJv//YPnd7sk+OKShs37h&#10;UYxV9NK18Y/5kT6RtZ/IEn0gHC9nZf55jpRyVJXl2XxeRDKzo7N1PnwV0JIoVNThWySK2O7Wh8H0&#10;YBJjedCqvlFap0N8f3GlHdkxfLn15gD+xkqbaGsgeg2A8SY7VpKksNci2mnzKCRRNeZepkRSkx2D&#10;MM6FCcWgalgthtjFaZ6nPsHSJo9UaAKMyBLjT9gjwNsCDthDlqN9dBWpRyfn/G+JDc6TR4oMJkzO&#10;rTLg/gSgsaox8mB/IGmgJrIU+nWP3FT0PFrGmzXU+wdHHAwz4y2/UfiQt8yHB+ZwSPDtcfDDPX6k&#10;hq6iXCtLSQPu5/u7aIc9ixpKOhy2ivofW+YEJfqbwW4+L2azOJ3pMDudl3hwrzXr1xqzba8Au6LA&#10;1WJ5EqN90AdROmhfcC+sYlRUMcMxdkXDQbwKwwrAvcLFapWMcB4tC7fmyfIIHdmN7fncvzBnxx4O&#10;2Px3cBhLtnjXyoNt9DSw2gaQKvX5kc2Rd5zl1EDj3onL4vU5WR234/IXAAAA//8DAFBLAwQUAAYA&#10;CAAAACEA6ZOF+eEAAAALAQAADwAAAGRycy9kb3ducmV2LnhtbEyPQUvEMBSE74L/ITzBm5u2uqbb&#10;7euigiAIC7uK57R525ZtkpKk3frvjSc9DjPMfFPuFj2wmZzvrUFIVwkwMo1VvWkRPj9e73JgPkij&#10;5GANIXyTh111fVXKQtmLOdB8DC2LJcYXEqELYSw4901HWvqVHclE72SdliFK13Ll5CWW64FnSfLI&#10;texNXOjkSC8dNefjpBHq+X3/POfrKf/Sp8P8tt4E1yjE25vlaQss0BL+wvCLH9Ghiky1nYzybEAQ&#10;aRq/BIT7TZYCiwkhRAasRnjIRA68Kvn/D9UPAAAA//8DAFBLAQItABQABgAIAAAAIQC2gziS/gAA&#10;AOEBAAATAAAAAAAAAAAAAAAAAAAAAABbQ29udGVudF9UeXBlc10ueG1sUEsBAi0AFAAGAAgAAAAh&#10;ADj9If/WAAAAlAEAAAsAAAAAAAAAAAAAAAAALwEAAF9yZWxzLy5yZWxzUEsBAi0AFAAGAAgAAAAh&#10;ANfAHKeEAgAAZQUAAA4AAAAAAAAAAAAAAAAALgIAAGRycy9lMm9Eb2MueG1sUEsBAi0AFAAGAAgA&#10;AAAhAOmThfnhAAAACwEAAA8AAAAAAAAAAAAAAAAA3gQAAGRycy9kb3ducmV2LnhtbFBLBQYAAAAA&#10;BAAEAPMAAADsBQAAAAA=&#10;" fillcolor="white [3212]" stroked="f" strokeweight="2pt">
                <v:textbox>
                  <w:txbxContent>
                    <w:p w14:paraId="4A358C88" w14:textId="3D66F6ED"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v:textbox>
                <w10:wrap anchorx="margin"/>
              </v:rect>
            </w:pict>
          </mc:Fallback>
        </mc:AlternateContent>
      </w:r>
      <w:r>
        <w:rPr>
          <w:noProof/>
        </w:rPr>
        <mc:AlternateContent>
          <mc:Choice Requires="wps">
            <w:drawing>
              <wp:anchor distT="0" distB="0" distL="114300" distR="114300" simplePos="0" relativeHeight="251754496" behindDoc="0" locked="0" layoutInCell="1" allowOverlap="1" wp14:anchorId="4FBE17D9" wp14:editId="2CE3119B">
                <wp:simplePos x="0" y="0"/>
                <wp:positionH relativeFrom="column">
                  <wp:posOffset>5025542</wp:posOffset>
                </wp:positionH>
                <wp:positionV relativeFrom="paragraph">
                  <wp:posOffset>1883156</wp:posOffset>
                </wp:positionV>
                <wp:extent cx="420370" cy="1026897"/>
                <wp:effectExtent l="0" t="0" r="0" b="1905"/>
                <wp:wrapNone/>
                <wp:docPr id="1137352844" name="Rectangle 2"/>
                <wp:cNvGraphicFramePr/>
                <a:graphic xmlns:a="http://schemas.openxmlformats.org/drawingml/2006/main">
                  <a:graphicData uri="http://schemas.microsoft.com/office/word/2010/wordprocessingShape">
                    <wps:wsp>
                      <wps:cNvSpPr/>
                      <wps:spPr>
                        <a:xfrm>
                          <a:off x="0" y="0"/>
                          <a:ext cx="420370" cy="102689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2375F1"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41706D3A"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11B1946"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57A545AE"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7A6F0756"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0797A5D"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FBE17D9" id="_x0000_s1036" style="position:absolute;left:0;text-align:left;margin-left:395.7pt;margin-top:148.3pt;width:33.1pt;height:80.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R8hQIAAGcFAAAOAAAAZHJzL2Uyb0RvYy54bWysVE1v2zAMvQ/YfxB0X21n6VcQpwhadBhQ&#10;tMHaoWdFlmIBsqhJSuzs14+SHSfthh2GXWxKJB/JJ5Lzm67RZCecV2BKWpzllAjDoVJmU9LvL/ef&#10;rijxgZmKaTCipHvh6c3i44d5a2diAjXoSjiCIMbPWlvSOgQ7yzLPa9EwfwZWGFRKcA0LeHSbrHKs&#10;RfRGZ5M8v8hacJV1wIX3eHvXK+ki4UspeHiS0otAdEkxt5C+Ln3X8Zst5my2cczWig9psH/IomHK&#10;YNAR6o4FRrZO/QbVKO7AgwxnHJoMpFRcpBqwmiJ/V81zzaxItSA53o40+f8Hyx93z3blkIbW+plH&#10;MVbRSdfEP+ZHukTWfiRLdIFwvJxO8s+XSClHVZFPLq6uLyOb2dHbOh++CGhIFErq8DESR2z34ENv&#10;ejCJwTxoVd0rrdMhNoC41Y7sGD7delMM4G+stIm2BqJXDxhvsmMpSQp7LaKdNt+EJKrC5CcpkdRl&#10;xyCMc2FC0atqVok+dnGe56lRsLTRIxWaACOyxPgj9gDwtoADdp/lYB9dRWrS0Tn/W2K98+iRIoMJ&#10;o3OjDLg/AWisaojc2x9I6qmJLIVu3SE38S2jabxaQ7VfOeKgnxpv+b3Cl3xgPqyYwzHB18fRD0/4&#10;kRraknKtLCU1uJ/v76Iddi1qKGlx3Erqf2yZE5Torwb7+bqYTuN8psP0/HKCB3eqWZ9qzLa5BWyL&#10;ApeL5UmM9kEfROmgecXNsIxRUcUMx9glDQfxNvRLADcLF8tlMsKJtCw8mGfLI3SkN/bnS/fKnB2a&#10;OGD7P8JhMNnsXS/3ttHTwHIbQKrU6Ec2B+JxmlMHDZsnrovTc7I67sfFLwAAAP//AwBQSwMEFAAG&#10;AAgAAAAhABge+7XhAAAACwEAAA8AAABkcnMvZG93bnJldi54bWxMj8FKxDAQhu+C7xBG8Oamu267&#10;ae10UUEQBGFX8Zw2s22xSUqTZuvbG0/ubYb5+Of7y/2iBxZocr01COtVAoxMY1VvWoTPj5c7Acx5&#10;aZQcrCGEH3Kwr66vSlkoezYHCkffshhiXCEROu/HgnPXdKSlW9mRTLyd7KSlj+vUcjXJcwzXA98k&#10;Sca17E380MmRnjtqvo+zRqjD2/tTEOksvvTpEF7T3E+NQry9WR4fgHla/D8Mf/pRHaroVNvZKMcG&#10;hF2+3kYUYZNnGbBIiHQXhxphm4p74FXJLztUvwAAAP//AwBQSwECLQAUAAYACAAAACEAtoM4kv4A&#10;AADhAQAAEwAAAAAAAAAAAAAAAAAAAAAAW0NvbnRlbnRfVHlwZXNdLnhtbFBLAQItABQABgAIAAAA&#10;IQA4/SH/1gAAAJQBAAALAAAAAAAAAAAAAAAAAC8BAABfcmVscy8ucmVsc1BLAQItABQABgAIAAAA&#10;IQBSvER8hQIAAGcFAAAOAAAAAAAAAAAAAAAAAC4CAABkcnMvZTJvRG9jLnhtbFBLAQItABQABgAI&#10;AAAAIQAYHvu14QAAAAsBAAAPAAAAAAAAAAAAAAAAAN8EAABkcnMvZG93bnJldi54bWxQSwUGAAAA&#10;AAQABADzAAAA7QUAAAAA&#10;" fillcolor="white [3212]" stroked="f" strokeweight="2pt">
                <v:textbox>
                  <w:txbxContent>
                    <w:p w14:paraId="4E2375F1"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41706D3A"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11B1946"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57A545AE"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7A6F0756"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0797A5D"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v:textbox>
              </v:rect>
            </w:pict>
          </mc:Fallback>
        </mc:AlternateContent>
      </w:r>
      <w:r w:rsidR="00143588">
        <w:rPr>
          <w:noProof/>
        </w:rPr>
        <w:drawing>
          <wp:inline distT="0" distB="0" distL="0" distR="0" wp14:anchorId="0D508822" wp14:editId="72B6B0BD">
            <wp:extent cx="6071191" cy="3166152"/>
            <wp:effectExtent l="0" t="0" r="6350" b="0"/>
            <wp:docPr id="3338607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80832" cy="3171180"/>
                    </a:xfrm>
                    <a:prstGeom prst="rect">
                      <a:avLst/>
                    </a:prstGeom>
                    <a:noFill/>
                  </pic:spPr>
                </pic:pic>
              </a:graphicData>
            </a:graphic>
          </wp:inline>
        </w:drawing>
      </w:r>
    </w:p>
    <w:p w14:paraId="5B24BC65" w14:textId="453BCC1A" w:rsidR="00143588" w:rsidRDefault="00143588" w:rsidP="00143588">
      <w:pPr>
        <w:rPr>
          <w:sz w:val="16"/>
          <w:szCs w:val="20"/>
        </w:rPr>
      </w:pPr>
      <w:r>
        <w:rPr>
          <w:sz w:val="16"/>
          <w:szCs w:val="20"/>
        </w:rPr>
        <w:t>Some v</w:t>
      </w:r>
      <w:r w:rsidRPr="00896069">
        <w:rPr>
          <w:sz w:val="16"/>
          <w:szCs w:val="20"/>
        </w:rPr>
        <w:t xml:space="preserve">alues </w:t>
      </w:r>
      <w:r>
        <w:rPr>
          <w:sz w:val="16"/>
          <w:szCs w:val="20"/>
        </w:rPr>
        <w:t xml:space="preserve">for the Northern Territory and the Australian Government </w:t>
      </w:r>
      <w:r w:rsidRPr="00896069">
        <w:rPr>
          <w:sz w:val="16"/>
          <w:szCs w:val="20"/>
        </w:rPr>
        <w:t>have been suppressed.</w:t>
      </w:r>
    </w:p>
    <w:p w14:paraId="549470C1" w14:textId="77777777" w:rsidR="00984E07" w:rsidRPr="005D2DF1" w:rsidRDefault="00984E07" w:rsidP="00984E07">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73A6E9D8" w14:textId="21027D96" w:rsidR="003E25A6" w:rsidRDefault="003E25A6">
      <w:pPr>
        <w:spacing w:after="200" w:line="276" w:lineRule="auto"/>
        <w:jc w:val="left"/>
        <w:rPr>
          <w:rFonts w:ascii="Arial Bold" w:eastAsiaTheme="majorEastAsia" w:hAnsi="Arial Bold" w:cs="Arial"/>
          <w:b/>
          <w:kern w:val="32"/>
          <w:sz w:val="28"/>
          <w:szCs w:val="22"/>
        </w:rPr>
      </w:pPr>
    </w:p>
    <w:p w14:paraId="2D46ECF7" w14:textId="6DC68345" w:rsidR="00781310" w:rsidRPr="00086AB2" w:rsidRDefault="00781310" w:rsidP="007C5139">
      <w:pPr>
        <w:pStyle w:val="Heading1"/>
        <w:spacing w:before="120"/>
      </w:pPr>
      <w:bookmarkStart w:id="104" w:name="_Toc150245719"/>
      <w:r w:rsidRPr="00086AB2">
        <w:t xml:space="preserve">Professional, </w:t>
      </w:r>
      <w:proofErr w:type="gramStart"/>
      <w:r w:rsidRPr="00086AB2">
        <w:t>sc</w:t>
      </w:r>
      <w:r w:rsidR="001978D9" w:rsidRPr="00086AB2">
        <w:t>ientific</w:t>
      </w:r>
      <w:proofErr w:type="gramEnd"/>
      <w:r w:rsidR="001978D9" w:rsidRPr="00086AB2">
        <w:t xml:space="preserve"> and technical services</w:t>
      </w:r>
      <w:bookmarkEnd w:id="104"/>
      <w:r w:rsidR="0033569C">
        <w:t xml:space="preserve"> </w:t>
      </w:r>
    </w:p>
    <w:p w14:paraId="2B947C1E" w14:textId="70414929" w:rsidR="00C03259" w:rsidRDefault="003A1B9E" w:rsidP="002B0620">
      <w:pPr>
        <w:pStyle w:val="Heading3"/>
        <w:spacing w:before="120" w:after="60"/>
      </w:pPr>
      <w:bookmarkStart w:id="105" w:name="_Toc150245720"/>
      <w:bookmarkStart w:id="106" w:name="_Hlk56772962"/>
      <w:r>
        <w:t>Frequency</w:t>
      </w:r>
      <w:r w:rsidRPr="00086AB2">
        <w:t xml:space="preserve"> </w:t>
      </w:r>
      <w:r w:rsidR="00F17473" w:rsidRPr="00086AB2">
        <w:t xml:space="preserve">rates of serious claims for </w:t>
      </w:r>
      <w:r w:rsidR="009D46FF" w:rsidRPr="00086AB2">
        <w:t>P</w:t>
      </w:r>
      <w:r w:rsidR="00F17473" w:rsidRPr="00086AB2">
        <w:t xml:space="preserve">rofessional, </w:t>
      </w:r>
      <w:proofErr w:type="gramStart"/>
      <w:r w:rsidR="00F17473" w:rsidRPr="00086AB2">
        <w:t>scientific</w:t>
      </w:r>
      <w:proofErr w:type="gramEnd"/>
      <w:r w:rsidR="00F17473" w:rsidRPr="00086AB2">
        <w:t xml:space="preserve"> and technical services by jurisdiction</w:t>
      </w:r>
      <w:r w:rsidR="006F4EC3">
        <w:t xml:space="preserve"> (previously i</w:t>
      </w:r>
      <w:r w:rsidR="006F4EC3" w:rsidRPr="00086AB2">
        <w:t>ndicator 11</w:t>
      </w:r>
      <w:r w:rsidR="006F4EC3" w:rsidRPr="00086AB2">
        <w:rPr>
          <w:noProof/>
        </w:rPr>
        <w:fldChar w:fldCharType="begin"/>
      </w:r>
      <w:r w:rsidR="006F4EC3" w:rsidRPr="00086AB2">
        <w:rPr>
          <w:noProof/>
        </w:rPr>
        <w:instrText xml:space="preserve"> SEQ Indicator_11 \* alphabetic </w:instrText>
      </w:r>
      <w:r w:rsidR="006F4EC3" w:rsidRPr="00086AB2">
        <w:rPr>
          <w:noProof/>
        </w:rPr>
        <w:fldChar w:fldCharType="separate"/>
      </w:r>
      <w:r w:rsidR="006F4EC3">
        <w:rPr>
          <w:noProof/>
        </w:rPr>
        <w:t>m</w:t>
      </w:r>
      <w:r w:rsidR="006F4EC3" w:rsidRPr="00086AB2">
        <w:rPr>
          <w:noProof/>
        </w:rPr>
        <w:fldChar w:fldCharType="end"/>
      </w:r>
      <w:r w:rsidR="006F4EC3">
        <w:rPr>
          <w:noProof/>
        </w:rPr>
        <w:t>)</w:t>
      </w:r>
      <w:bookmarkEnd w:id="105"/>
    </w:p>
    <w:p w14:paraId="32F6239B" w14:textId="6374D699" w:rsidR="00F17473" w:rsidRPr="00086AB2" w:rsidRDefault="00B8577F" w:rsidP="00952860">
      <w:pPr>
        <w:pStyle w:val="SWATableheader"/>
        <w:keepNext w:val="0"/>
        <w:spacing w:before="0" w:after="120"/>
      </w:pPr>
      <w:r>
        <w:rPr>
          <w:noProof/>
        </w:rPr>
        <mc:AlternateContent>
          <mc:Choice Requires="wps">
            <w:drawing>
              <wp:anchor distT="0" distB="0" distL="114300" distR="114300" simplePos="0" relativeHeight="251675648" behindDoc="0" locked="0" layoutInCell="1" allowOverlap="1" wp14:anchorId="240253B3" wp14:editId="05EDC0DC">
                <wp:simplePos x="0" y="0"/>
                <wp:positionH relativeFrom="column">
                  <wp:posOffset>7381240</wp:posOffset>
                </wp:positionH>
                <wp:positionV relativeFrom="paragraph">
                  <wp:posOffset>3400425</wp:posOffset>
                </wp:positionV>
                <wp:extent cx="292100" cy="254000"/>
                <wp:effectExtent l="0" t="0" r="12700" b="12700"/>
                <wp:wrapNone/>
                <wp:docPr id="61" name="Rectangle 61"/>
                <wp:cNvGraphicFramePr/>
                <a:graphic xmlns:a="http://schemas.openxmlformats.org/drawingml/2006/main">
                  <a:graphicData uri="http://schemas.microsoft.com/office/word/2010/wordprocessingShape">
                    <wps:wsp>
                      <wps:cNvSpPr/>
                      <wps:spPr>
                        <a:xfrm>
                          <a:off x="0" y="0"/>
                          <a:ext cx="292100" cy="254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78A45" id="Rectangle 61" o:spid="_x0000_s1026" style="position:absolute;margin-left:581.2pt;margin-top:267.75pt;width:23pt;height:2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FjdAIAAIUFAAAOAAAAZHJzL2Uyb0RvYy54bWysVE1v2zAMvQ/YfxB0X20H6bYGdYqgRYcB&#10;RVusHXpWZCk2IIsapcTJfv0o+SNtV+xQ7CKTJvlEPpE8v9i3hu0U+gZsyYuTnDNlJVSN3ZT85+P1&#10;p6+c+SBsJQxYVfKD8vxi+fHDeecWagY1mEohIxDrF50reR2CW2SZl7VqhT8BpywZNWArAqm4ySoU&#10;HaG3Jpvl+eesA6wcglTe09+r3siXCV9rJcOd1l4FZkpOuYV0YjrX8cyW52KxQeHqRg5piHdk0YrG&#10;0qUT1JUIgm2x+QuqbSSCBx1OJLQZaN1IlWqgaor8VTUPtXAq1ULkeDfR5P8frLzdPbh7JBo65xee&#10;xFjFXmMbv5Qf2yeyDhNZah+YpJ+zs1mRE6WSTLPTeU4yoWTHYIc+fFPQsiiUHOktEkVid+ND7zq6&#10;xLs8mKa6boxJSnx/dWmQ7QS93HpTDOAvvIx9VyDlGCOzY8VJCgejIp6xP5RmTRVrTAmnZjwmI6RU&#10;NhS9qRaV6nM8JQZGCqaIREgCjMiaqpuwB4CXhY7YPT2DfwxVqZen4PxfifXBU0S6GWyYgtvGAr4F&#10;YKiq4ebefySppyaytIbqcI8MoZ8k7+R1Q897I3y4F0ijQx1B6yDc0aENdCWHQeKsBvz91v/oTx1N&#10;Vs46GsWS+19bgYoz891Sr58V83mc3aTMT7/MSMHnlvVzi922l0A9U9DicTKJ0T+YUdQI7RNtjVW8&#10;lUzCSrq75DLgqFyGfkXQ3pFqtUpuNK9OhBv74GQEj6zG9n3cPwl0Q48HGo5bGMdWLF61eu8bIy2s&#10;tgF0k+bgyOvAN816apxhL8Vl8lxPXsftufwDAAD//wMAUEsDBBQABgAIAAAAIQDkB9M53wAAAA0B&#10;AAAPAAAAZHJzL2Rvd25yZXYueG1sTI/BTsMwEETvSPyDtUhcEHUSSJuGOBVC4gqicOnNTbZxRLyO&#10;bDcNfD3bEz3O29HsTLWZ7SAm9KF3pCBdJCCQGtf21Cn4+ny9L0CEqKnVgyNU8IMBNvX1VaXL1p3o&#10;A6dt7ASHUCi1AhPjWEoZGoNWh4Ubkfh2cN7qyNJ3svX6xOF2kFmSLKXVPfEHo0d8Mdh8b49Wwfq3&#10;eY+FG3MT+926s+nbwU93St3ezM9PICLO8d8M5/pcHWrutHdHaoMYWKfL7JG9CvKHPAdxtmRJwWjP&#10;aMVI1pW8XFH/AQAA//8DAFBLAQItABQABgAIAAAAIQC2gziS/gAAAOEBAAATAAAAAAAAAAAAAAAA&#10;AAAAAABbQ29udGVudF9UeXBlc10ueG1sUEsBAi0AFAAGAAgAAAAhADj9If/WAAAAlAEAAAsAAAAA&#10;AAAAAAAAAAAALwEAAF9yZWxzLy5yZWxzUEsBAi0AFAAGAAgAAAAhANe1sWN0AgAAhQUAAA4AAAAA&#10;AAAAAAAAAAAALgIAAGRycy9lMm9Eb2MueG1sUEsBAi0AFAAGAAgAAAAhAOQH0znfAAAADQEAAA8A&#10;AAAAAAAAAAAAAAAAzgQAAGRycy9kb3ducmV2LnhtbFBLBQYAAAAABAAEAPMAAADaBQAAAAA=&#10;" fillcolor="white [3212]" strokecolor="white [3212]" strokeweight="2pt"/>
            </w:pict>
          </mc:Fallback>
        </mc:AlternateContent>
      </w:r>
      <w:r w:rsidR="00143588">
        <w:rPr>
          <w:noProof/>
        </w:rPr>
        <w:drawing>
          <wp:inline distT="0" distB="0" distL="0" distR="0" wp14:anchorId="6286CF99" wp14:editId="59E28181">
            <wp:extent cx="6070600" cy="3023545"/>
            <wp:effectExtent l="0" t="0" r="6350" b="5715"/>
            <wp:docPr id="7174776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75775" cy="3026122"/>
                    </a:xfrm>
                    <a:prstGeom prst="rect">
                      <a:avLst/>
                    </a:prstGeom>
                    <a:noFill/>
                  </pic:spPr>
                </pic:pic>
              </a:graphicData>
            </a:graphic>
          </wp:inline>
        </w:drawing>
      </w:r>
    </w:p>
    <w:bookmarkEnd w:id="106"/>
    <w:p w14:paraId="31D4787B" w14:textId="77777777" w:rsidR="00984E07" w:rsidRPr="005D2DF1" w:rsidRDefault="00984E07" w:rsidP="00984E07">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160F2A94" w14:textId="10E5BB76" w:rsidR="003E25A6" w:rsidRDefault="003E25A6">
      <w:pPr>
        <w:spacing w:after="200" w:line="276" w:lineRule="auto"/>
        <w:jc w:val="left"/>
        <w:rPr>
          <w:rFonts w:ascii="Arial Bold" w:eastAsiaTheme="majorEastAsia" w:hAnsi="Arial Bold" w:cs="Arial"/>
          <w:b/>
          <w:kern w:val="32"/>
          <w:sz w:val="28"/>
          <w:szCs w:val="22"/>
        </w:rPr>
      </w:pPr>
      <w:r>
        <w:br w:type="page"/>
      </w:r>
    </w:p>
    <w:p w14:paraId="27BA5F73" w14:textId="6566065E" w:rsidR="00781310" w:rsidRPr="00086AB2" w:rsidRDefault="00781310" w:rsidP="007C5139">
      <w:pPr>
        <w:pStyle w:val="Heading1"/>
        <w:keepLines/>
        <w:spacing w:before="240"/>
      </w:pPr>
      <w:bookmarkStart w:id="107" w:name="_Toc150245721"/>
      <w:r w:rsidRPr="00086AB2">
        <w:lastRenderedPageBreak/>
        <w:t xml:space="preserve">Administrative and support </w:t>
      </w:r>
      <w:r w:rsidR="00381AA1" w:rsidRPr="00086AB2">
        <w:t>services</w:t>
      </w:r>
      <w:bookmarkEnd w:id="107"/>
      <w:r w:rsidR="006749AF">
        <w:t xml:space="preserve"> </w:t>
      </w:r>
    </w:p>
    <w:p w14:paraId="617A0011" w14:textId="281F8147" w:rsidR="00F17473" w:rsidRPr="00086AB2" w:rsidRDefault="003A1B9E" w:rsidP="0031228B">
      <w:pPr>
        <w:pStyle w:val="Heading3"/>
      </w:pPr>
      <w:bookmarkStart w:id="108" w:name="_Toc150245722"/>
      <w:bookmarkStart w:id="109" w:name="_Hlk56772973"/>
      <w:r>
        <w:t>Frequency</w:t>
      </w:r>
      <w:r w:rsidRPr="00086AB2">
        <w:t xml:space="preserve"> </w:t>
      </w:r>
      <w:r w:rsidR="00F17473" w:rsidRPr="00086AB2">
        <w:t xml:space="preserve">rates of serious claims for </w:t>
      </w:r>
      <w:r w:rsidR="009D46FF" w:rsidRPr="00086AB2">
        <w:t>A</w:t>
      </w:r>
      <w:r w:rsidR="00F17473" w:rsidRPr="00086AB2">
        <w:t>dministrative and support services by</w:t>
      </w:r>
      <w:r w:rsidR="00E55876" w:rsidRPr="00086AB2">
        <w:t> </w:t>
      </w:r>
      <w:r w:rsidR="00F17473" w:rsidRPr="00086AB2">
        <w:t>jurisdiction</w:t>
      </w:r>
      <w:r w:rsidR="006F4EC3">
        <w:t xml:space="preserve"> (previously i</w:t>
      </w:r>
      <w:r w:rsidR="006F4EC3" w:rsidRPr="00086AB2">
        <w:t>ndicator 11</w:t>
      </w:r>
      <w:r w:rsidR="006F4EC3" w:rsidRPr="00086AB2">
        <w:rPr>
          <w:noProof/>
        </w:rPr>
        <w:fldChar w:fldCharType="begin"/>
      </w:r>
      <w:r w:rsidR="006F4EC3" w:rsidRPr="00086AB2">
        <w:rPr>
          <w:noProof/>
        </w:rPr>
        <w:instrText xml:space="preserve"> SEQ Indicator_11 \* alphabetic </w:instrText>
      </w:r>
      <w:r w:rsidR="006F4EC3" w:rsidRPr="00086AB2">
        <w:rPr>
          <w:noProof/>
        </w:rPr>
        <w:fldChar w:fldCharType="separate"/>
      </w:r>
      <w:r w:rsidR="006F4EC3">
        <w:rPr>
          <w:noProof/>
        </w:rPr>
        <w:t>n</w:t>
      </w:r>
      <w:r w:rsidR="006F4EC3" w:rsidRPr="00086AB2">
        <w:rPr>
          <w:noProof/>
        </w:rPr>
        <w:fldChar w:fldCharType="end"/>
      </w:r>
      <w:r w:rsidR="006F4EC3">
        <w:rPr>
          <w:noProof/>
        </w:rPr>
        <w:t>)</w:t>
      </w:r>
      <w:bookmarkEnd w:id="108"/>
    </w:p>
    <w:bookmarkEnd w:id="109"/>
    <w:p w14:paraId="20616425" w14:textId="0ABBF6E0" w:rsidR="00F17473" w:rsidRPr="00086AB2" w:rsidRDefault="00143588" w:rsidP="003564DC">
      <w:pPr>
        <w:spacing w:after="0"/>
      </w:pPr>
      <w:r>
        <w:rPr>
          <w:noProof/>
        </w:rPr>
        <w:drawing>
          <wp:inline distT="0" distB="0" distL="0" distR="0" wp14:anchorId="67FA9B0E" wp14:editId="391D1C8E">
            <wp:extent cx="6051183" cy="2948026"/>
            <wp:effectExtent l="0" t="0" r="6985" b="5080"/>
            <wp:docPr id="772221895" name="Picture 19"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21895" name="Picture 19" descr="A graph of different colored bars&#10;&#10;Description automatically generated with medium confidenc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54229" cy="2949510"/>
                    </a:xfrm>
                    <a:prstGeom prst="rect">
                      <a:avLst/>
                    </a:prstGeom>
                    <a:noFill/>
                  </pic:spPr>
                </pic:pic>
              </a:graphicData>
            </a:graphic>
          </wp:inline>
        </w:drawing>
      </w:r>
    </w:p>
    <w:p w14:paraId="09F1C6D9" w14:textId="77777777" w:rsidR="00984E07" w:rsidRDefault="00984E07" w:rsidP="00984E07">
      <w:pPr>
        <w:rPr>
          <w:sz w:val="16"/>
          <w:szCs w:val="20"/>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56540ECA" w14:textId="2211D07F" w:rsidR="00143588" w:rsidRDefault="00B3182B" w:rsidP="00A20109">
      <w:r>
        <w:rPr>
          <w:sz w:val="16"/>
          <w:szCs w:val="20"/>
        </w:rPr>
        <w:t xml:space="preserve">The changes </w:t>
      </w:r>
      <w:r w:rsidR="005E3806">
        <w:rPr>
          <w:sz w:val="16"/>
          <w:szCs w:val="20"/>
        </w:rPr>
        <w:t xml:space="preserve">in frequency rates </w:t>
      </w:r>
      <w:r>
        <w:rPr>
          <w:sz w:val="16"/>
          <w:szCs w:val="20"/>
        </w:rPr>
        <w:t xml:space="preserve">between 2021-22p and the previous years is partially due to </w:t>
      </w:r>
      <w:r w:rsidRPr="00B3182B">
        <w:rPr>
          <w:sz w:val="16"/>
          <w:szCs w:val="20"/>
        </w:rPr>
        <w:t xml:space="preserve">improvements </w:t>
      </w:r>
      <w:r>
        <w:rPr>
          <w:sz w:val="16"/>
          <w:szCs w:val="20"/>
        </w:rPr>
        <w:t xml:space="preserve">implemented </w:t>
      </w:r>
      <w:r w:rsidRPr="00B3182B">
        <w:rPr>
          <w:sz w:val="16"/>
          <w:szCs w:val="20"/>
        </w:rPr>
        <w:t>to the estimates of the working population</w:t>
      </w:r>
      <w:r>
        <w:rPr>
          <w:sz w:val="16"/>
          <w:szCs w:val="20"/>
        </w:rPr>
        <w:t xml:space="preserve"> by Safe Work Australia.</w:t>
      </w:r>
    </w:p>
    <w:p w14:paraId="534B9C5B" w14:textId="5EE12EDB" w:rsidR="00781310" w:rsidRPr="00086AB2" w:rsidRDefault="00781310" w:rsidP="00B51041">
      <w:pPr>
        <w:pStyle w:val="Heading1"/>
      </w:pPr>
      <w:bookmarkStart w:id="110" w:name="_Toc150245723"/>
      <w:r w:rsidRPr="00086AB2">
        <w:t>P</w:t>
      </w:r>
      <w:r w:rsidR="001978D9" w:rsidRPr="00086AB2">
        <w:t>ublic administration and safety</w:t>
      </w:r>
      <w:bookmarkEnd w:id="110"/>
      <w:r w:rsidR="00EC0217">
        <w:t xml:space="preserve"> </w:t>
      </w:r>
    </w:p>
    <w:p w14:paraId="029F849D" w14:textId="707B7FA7" w:rsidR="00F17473" w:rsidRPr="00086AB2" w:rsidRDefault="003A1B9E" w:rsidP="0031228B">
      <w:pPr>
        <w:pStyle w:val="Heading3"/>
      </w:pPr>
      <w:bookmarkStart w:id="111" w:name="_Toc150245724"/>
      <w:bookmarkStart w:id="112" w:name="_Hlk56772979"/>
      <w:r>
        <w:t>Frequency</w:t>
      </w:r>
      <w:r w:rsidRPr="00086AB2">
        <w:t xml:space="preserve"> </w:t>
      </w:r>
      <w:r w:rsidR="00F17473" w:rsidRPr="00086AB2">
        <w:t xml:space="preserve">rates of serious claims for </w:t>
      </w:r>
      <w:proofErr w:type="gramStart"/>
      <w:r w:rsidR="009D46FF" w:rsidRPr="00912465">
        <w:t>P</w:t>
      </w:r>
      <w:r w:rsidR="00F17473" w:rsidRPr="00912465">
        <w:t>ublic</w:t>
      </w:r>
      <w:proofErr w:type="gramEnd"/>
      <w:r w:rsidR="00F17473" w:rsidRPr="00912465">
        <w:t xml:space="preserve"> administration and safety by</w:t>
      </w:r>
      <w:r w:rsidR="00E55876" w:rsidRPr="00912465">
        <w:t> </w:t>
      </w:r>
      <w:r w:rsidR="00F17473" w:rsidRPr="00912465">
        <w:t>jurisdiction</w:t>
      </w:r>
      <w:r w:rsidR="006F4EC3">
        <w:t xml:space="preserve"> (previously i</w:t>
      </w:r>
      <w:r w:rsidR="006F4EC3" w:rsidRPr="00086AB2">
        <w:t>ndicator 11</w:t>
      </w:r>
      <w:r w:rsidR="006F4EC3" w:rsidRPr="00086AB2">
        <w:rPr>
          <w:noProof/>
        </w:rPr>
        <w:fldChar w:fldCharType="begin"/>
      </w:r>
      <w:r w:rsidR="006F4EC3" w:rsidRPr="00086AB2">
        <w:rPr>
          <w:noProof/>
        </w:rPr>
        <w:instrText xml:space="preserve"> SEQ Indicator_11 \* alphabetic </w:instrText>
      </w:r>
      <w:r w:rsidR="006F4EC3" w:rsidRPr="00086AB2">
        <w:rPr>
          <w:noProof/>
        </w:rPr>
        <w:fldChar w:fldCharType="separate"/>
      </w:r>
      <w:r w:rsidR="006F4EC3">
        <w:rPr>
          <w:noProof/>
        </w:rPr>
        <w:t>o</w:t>
      </w:r>
      <w:r w:rsidR="006F4EC3" w:rsidRPr="00086AB2">
        <w:rPr>
          <w:noProof/>
        </w:rPr>
        <w:fldChar w:fldCharType="end"/>
      </w:r>
      <w:r w:rsidR="006F4EC3">
        <w:rPr>
          <w:noProof/>
        </w:rPr>
        <w:t>)</w:t>
      </w:r>
      <w:bookmarkEnd w:id="111"/>
    </w:p>
    <w:bookmarkEnd w:id="112"/>
    <w:p w14:paraId="3F222EB2" w14:textId="1DE8CC55" w:rsidR="008F29A3" w:rsidRPr="00F60444" w:rsidRDefault="00143588" w:rsidP="003564DC">
      <w:r>
        <w:rPr>
          <w:noProof/>
        </w:rPr>
        <w:drawing>
          <wp:inline distT="0" distB="0" distL="0" distR="0" wp14:anchorId="3EFD1D30" wp14:editId="6FFD86D4">
            <wp:extent cx="6050784" cy="3094330"/>
            <wp:effectExtent l="0" t="0" r="7620" b="0"/>
            <wp:docPr id="11643643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60718" cy="3099410"/>
                    </a:xfrm>
                    <a:prstGeom prst="rect">
                      <a:avLst/>
                    </a:prstGeom>
                    <a:noFill/>
                  </pic:spPr>
                </pic:pic>
              </a:graphicData>
            </a:graphic>
          </wp:inline>
        </w:drawing>
      </w:r>
    </w:p>
    <w:p w14:paraId="66AEEADC" w14:textId="77777777" w:rsidR="005E3806" w:rsidRDefault="00984E07">
      <w:pPr>
        <w:rPr>
          <w:sz w:val="16"/>
          <w:szCs w:val="20"/>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0769EB3E" w14:textId="3BE57B62" w:rsidR="003E25A6" w:rsidRPr="00594383" w:rsidRDefault="005E3806" w:rsidP="00A20109">
      <w:pPr>
        <w:rPr>
          <w:rFonts w:ascii="Arial Bold" w:eastAsiaTheme="majorEastAsia" w:hAnsi="Arial Bold" w:cs="Arial"/>
          <w:b/>
          <w:kern w:val="32"/>
          <w:sz w:val="28"/>
          <w:szCs w:val="22"/>
        </w:rPr>
      </w:pPr>
      <w:r w:rsidRPr="00594383">
        <w:rPr>
          <w:sz w:val="16"/>
          <w:szCs w:val="20"/>
        </w:rPr>
        <w:t>The changes in frequency rates between 2021-22p and the previous years is partially due to improvements implemented to the estimates of the working population by Safe Work Australia.</w:t>
      </w:r>
      <w:r w:rsidR="003E25A6" w:rsidRPr="00594383">
        <w:br w:type="page"/>
      </w:r>
    </w:p>
    <w:p w14:paraId="1A1BEA9C" w14:textId="51821B9B" w:rsidR="008F29A3" w:rsidRPr="00086AB2" w:rsidRDefault="008F29A3" w:rsidP="008F29A3">
      <w:pPr>
        <w:pStyle w:val="Heading1"/>
      </w:pPr>
      <w:bookmarkStart w:id="113" w:name="_Toc150245725"/>
      <w:r w:rsidRPr="00086AB2">
        <w:lastRenderedPageBreak/>
        <w:t>Education and training</w:t>
      </w:r>
      <w:bookmarkEnd w:id="113"/>
      <w:r>
        <w:t xml:space="preserve"> </w:t>
      </w:r>
    </w:p>
    <w:p w14:paraId="199023DA" w14:textId="4E26DEBE" w:rsidR="008F29A3" w:rsidRPr="00086AB2" w:rsidRDefault="003A1B9E" w:rsidP="0031228B">
      <w:pPr>
        <w:pStyle w:val="Heading3"/>
      </w:pPr>
      <w:bookmarkStart w:id="114" w:name="_Toc150245726"/>
      <w:bookmarkStart w:id="115" w:name="_Hlk56773702"/>
      <w:r>
        <w:t>Frequency</w:t>
      </w:r>
      <w:r w:rsidRPr="00086AB2">
        <w:t xml:space="preserve"> </w:t>
      </w:r>
      <w:r w:rsidR="008F29A3" w:rsidRPr="00086AB2">
        <w:t>rates of serious claims for Education and training by jurisdiction</w:t>
      </w:r>
      <w:r w:rsidR="006F4EC3">
        <w:t xml:space="preserve"> (previously i</w:t>
      </w:r>
      <w:r w:rsidR="006F4EC3" w:rsidRPr="00086AB2">
        <w:t>ndicator 11</w:t>
      </w:r>
      <w:r w:rsidR="006F4EC3" w:rsidRPr="00086AB2">
        <w:rPr>
          <w:noProof/>
        </w:rPr>
        <w:fldChar w:fldCharType="begin"/>
      </w:r>
      <w:r w:rsidR="006F4EC3" w:rsidRPr="00086AB2">
        <w:rPr>
          <w:noProof/>
        </w:rPr>
        <w:instrText xml:space="preserve"> SEQ Indicator_11 \* alphabetic </w:instrText>
      </w:r>
      <w:r w:rsidR="006F4EC3" w:rsidRPr="00086AB2">
        <w:rPr>
          <w:noProof/>
        </w:rPr>
        <w:fldChar w:fldCharType="separate"/>
      </w:r>
      <w:r w:rsidR="006F4EC3">
        <w:rPr>
          <w:noProof/>
        </w:rPr>
        <w:t>p</w:t>
      </w:r>
      <w:r w:rsidR="006F4EC3" w:rsidRPr="00086AB2">
        <w:rPr>
          <w:noProof/>
        </w:rPr>
        <w:fldChar w:fldCharType="end"/>
      </w:r>
      <w:r w:rsidR="006F4EC3">
        <w:rPr>
          <w:noProof/>
        </w:rPr>
        <w:t>)</w:t>
      </w:r>
      <w:bookmarkEnd w:id="114"/>
    </w:p>
    <w:bookmarkEnd w:id="115"/>
    <w:p w14:paraId="49BC29D4" w14:textId="425482F7" w:rsidR="008F29A3" w:rsidRDefault="00143588" w:rsidP="003564DC">
      <w:r>
        <w:rPr>
          <w:noProof/>
        </w:rPr>
        <w:drawing>
          <wp:inline distT="0" distB="0" distL="0" distR="0" wp14:anchorId="033F75E1" wp14:editId="1D27EB97">
            <wp:extent cx="6049926" cy="3018797"/>
            <wp:effectExtent l="0" t="0" r="8255" b="0"/>
            <wp:docPr id="144893344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55051" cy="3021354"/>
                    </a:xfrm>
                    <a:prstGeom prst="rect">
                      <a:avLst/>
                    </a:prstGeom>
                    <a:noFill/>
                  </pic:spPr>
                </pic:pic>
              </a:graphicData>
            </a:graphic>
          </wp:inline>
        </w:drawing>
      </w:r>
    </w:p>
    <w:p w14:paraId="7FC13A7A" w14:textId="77777777" w:rsidR="00984E07" w:rsidRPr="005D2DF1" w:rsidRDefault="00984E07" w:rsidP="00984E07">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11B99FE8" w14:textId="1F85B582" w:rsidR="003E25A6" w:rsidRDefault="003E25A6">
      <w:pPr>
        <w:spacing w:after="200" w:line="276" w:lineRule="auto"/>
        <w:jc w:val="left"/>
        <w:rPr>
          <w:rFonts w:ascii="Arial Bold" w:eastAsiaTheme="majorEastAsia" w:hAnsi="Arial Bold" w:cs="Arial"/>
          <w:b/>
          <w:kern w:val="32"/>
          <w:sz w:val="28"/>
          <w:szCs w:val="22"/>
        </w:rPr>
      </w:pPr>
    </w:p>
    <w:p w14:paraId="0F78BAFF" w14:textId="5EB459FA" w:rsidR="00781310" w:rsidRPr="00086AB2" w:rsidRDefault="00781310" w:rsidP="00B51041">
      <w:pPr>
        <w:pStyle w:val="Heading1"/>
      </w:pPr>
      <w:bookmarkStart w:id="116" w:name="_Toc150245727"/>
      <w:r w:rsidRPr="00086AB2">
        <w:t>H</w:t>
      </w:r>
      <w:r w:rsidR="001978D9" w:rsidRPr="00086AB2">
        <w:t>ealth</w:t>
      </w:r>
      <w:r w:rsidR="0055154B">
        <w:t xml:space="preserve"> </w:t>
      </w:r>
      <w:r w:rsidR="001978D9" w:rsidRPr="00086AB2">
        <w:t>care and social assistance</w:t>
      </w:r>
      <w:bookmarkEnd w:id="116"/>
      <w:r w:rsidR="0021634B">
        <w:t xml:space="preserve"> </w:t>
      </w:r>
    </w:p>
    <w:p w14:paraId="1987A947" w14:textId="5EEC24D0" w:rsidR="00671BB0" w:rsidRPr="00086AB2" w:rsidRDefault="003A1B9E" w:rsidP="0031228B">
      <w:pPr>
        <w:pStyle w:val="Heading3"/>
      </w:pPr>
      <w:bookmarkStart w:id="117" w:name="_Toc150245728"/>
      <w:bookmarkStart w:id="118" w:name="_Hlk56773720"/>
      <w:r>
        <w:t>Frequency</w:t>
      </w:r>
      <w:r w:rsidRPr="00086AB2">
        <w:t xml:space="preserve"> </w:t>
      </w:r>
      <w:r w:rsidR="00671BB0" w:rsidRPr="00086AB2">
        <w:t xml:space="preserve">rates of serious claims for </w:t>
      </w:r>
      <w:r w:rsidR="009D46FF" w:rsidRPr="00086AB2">
        <w:t>H</w:t>
      </w:r>
      <w:r w:rsidR="00671BB0" w:rsidRPr="00086AB2">
        <w:t>ealth</w:t>
      </w:r>
      <w:r w:rsidR="00974985">
        <w:t xml:space="preserve"> </w:t>
      </w:r>
      <w:r w:rsidR="00671BB0" w:rsidRPr="00086AB2">
        <w:t>care and social assistance by</w:t>
      </w:r>
      <w:r w:rsidR="00E55876" w:rsidRPr="00086AB2">
        <w:t> </w:t>
      </w:r>
      <w:r w:rsidR="00671BB0" w:rsidRPr="00086AB2">
        <w:t>jurisdiction</w:t>
      </w:r>
      <w:r w:rsidR="006F4EC3">
        <w:t xml:space="preserve"> (previously i</w:t>
      </w:r>
      <w:r w:rsidR="006F4EC3" w:rsidRPr="00086AB2">
        <w:t>ndicator 11</w:t>
      </w:r>
      <w:r w:rsidR="006F4EC3" w:rsidRPr="00086AB2">
        <w:rPr>
          <w:noProof/>
        </w:rPr>
        <w:fldChar w:fldCharType="begin"/>
      </w:r>
      <w:r w:rsidR="006F4EC3" w:rsidRPr="00086AB2">
        <w:rPr>
          <w:noProof/>
        </w:rPr>
        <w:instrText xml:space="preserve"> SEQ Indicator_11 \* alphabetic </w:instrText>
      </w:r>
      <w:r w:rsidR="006F4EC3" w:rsidRPr="00086AB2">
        <w:rPr>
          <w:noProof/>
        </w:rPr>
        <w:fldChar w:fldCharType="separate"/>
      </w:r>
      <w:r w:rsidR="006F4EC3">
        <w:rPr>
          <w:noProof/>
        </w:rPr>
        <w:t>q</w:t>
      </w:r>
      <w:r w:rsidR="006F4EC3" w:rsidRPr="00086AB2">
        <w:rPr>
          <w:noProof/>
        </w:rPr>
        <w:fldChar w:fldCharType="end"/>
      </w:r>
      <w:r w:rsidR="006F4EC3">
        <w:rPr>
          <w:noProof/>
        </w:rPr>
        <w:t>)</w:t>
      </w:r>
      <w:bookmarkEnd w:id="117"/>
    </w:p>
    <w:bookmarkEnd w:id="118"/>
    <w:p w14:paraId="0475C5B7" w14:textId="52BDAA3B" w:rsidR="00781310" w:rsidRDefault="00143588" w:rsidP="003230EC">
      <w:r>
        <w:rPr>
          <w:noProof/>
        </w:rPr>
        <w:drawing>
          <wp:inline distT="0" distB="0" distL="0" distR="0" wp14:anchorId="12983A25" wp14:editId="2ED52852">
            <wp:extent cx="6049645" cy="3018657"/>
            <wp:effectExtent l="0" t="0" r="8255" b="0"/>
            <wp:docPr id="15674504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54113" cy="3020886"/>
                    </a:xfrm>
                    <a:prstGeom prst="rect">
                      <a:avLst/>
                    </a:prstGeom>
                    <a:noFill/>
                  </pic:spPr>
                </pic:pic>
              </a:graphicData>
            </a:graphic>
          </wp:inline>
        </w:drawing>
      </w:r>
    </w:p>
    <w:p w14:paraId="6DE536B3" w14:textId="77777777" w:rsidR="00984E07" w:rsidRPr="005D2DF1" w:rsidRDefault="00984E07" w:rsidP="00984E07">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1BC5E693" w14:textId="77777777" w:rsidR="003E25A6" w:rsidRDefault="003E25A6">
      <w:pPr>
        <w:spacing w:after="200" w:line="276" w:lineRule="auto"/>
        <w:jc w:val="left"/>
        <w:rPr>
          <w:rFonts w:ascii="Arial Bold" w:eastAsiaTheme="majorEastAsia" w:hAnsi="Arial Bold" w:cs="Arial"/>
          <w:b/>
          <w:kern w:val="32"/>
          <w:sz w:val="28"/>
          <w:szCs w:val="22"/>
        </w:rPr>
      </w:pPr>
      <w:r>
        <w:br w:type="page"/>
      </w:r>
    </w:p>
    <w:p w14:paraId="68C1107F" w14:textId="1DB32F8C" w:rsidR="00C84AE8" w:rsidRDefault="008F29A3" w:rsidP="003230EC">
      <w:pPr>
        <w:pStyle w:val="Heading1"/>
        <w:keepNext w:val="0"/>
        <w:keepLines/>
      </w:pPr>
      <w:bookmarkStart w:id="119" w:name="_Toc150245729"/>
      <w:r w:rsidRPr="00086AB2">
        <w:lastRenderedPageBreak/>
        <w:t>Arts and recreation services</w:t>
      </w:r>
      <w:bookmarkEnd w:id="119"/>
      <w:r>
        <w:t xml:space="preserve"> </w:t>
      </w:r>
    </w:p>
    <w:p w14:paraId="3E1C7168" w14:textId="52D364F4" w:rsidR="008F29A3" w:rsidRPr="00086AB2" w:rsidRDefault="003A1B9E" w:rsidP="0031228B">
      <w:pPr>
        <w:pStyle w:val="Heading3"/>
      </w:pPr>
      <w:bookmarkStart w:id="120" w:name="_Toc150245730"/>
      <w:bookmarkStart w:id="121" w:name="_Hlk56773728"/>
      <w:r>
        <w:t>Frequency</w:t>
      </w:r>
      <w:r w:rsidRPr="00086AB2">
        <w:t xml:space="preserve"> </w:t>
      </w:r>
      <w:r w:rsidR="008F29A3" w:rsidRPr="00086AB2">
        <w:t>rates of serious claims for Arts and recreation services by jurisdiction</w:t>
      </w:r>
      <w:r w:rsidR="006F4EC3">
        <w:t xml:space="preserve"> (previously i</w:t>
      </w:r>
      <w:r w:rsidR="006F4EC3" w:rsidRPr="00086AB2">
        <w:t>ndicator 11</w:t>
      </w:r>
      <w:r w:rsidR="006F4EC3" w:rsidRPr="00086AB2">
        <w:rPr>
          <w:noProof/>
        </w:rPr>
        <w:fldChar w:fldCharType="begin"/>
      </w:r>
      <w:r w:rsidR="006F4EC3" w:rsidRPr="00086AB2">
        <w:rPr>
          <w:noProof/>
        </w:rPr>
        <w:instrText xml:space="preserve"> SEQ Indicator_11 \* alphabetic </w:instrText>
      </w:r>
      <w:r w:rsidR="006F4EC3" w:rsidRPr="00086AB2">
        <w:rPr>
          <w:noProof/>
        </w:rPr>
        <w:fldChar w:fldCharType="separate"/>
      </w:r>
      <w:r w:rsidR="006F4EC3">
        <w:rPr>
          <w:noProof/>
        </w:rPr>
        <w:t>r</w:t>
      </w:r>
      <w:r w:rsidR="006F4EC3" w:rsidRPr="00086AB2">
        <w:rPr>
          <w:noProof/>
        </w:rPr>
        <w:fldChar w:fldCharType="end"/>
      </w:r>
      <w:r w:rsidR="006F4EC3">
        <w:rPr>
          <w:noProof/>
        </w:rPr>
        <w:t>)</w:t>
      </w:r>
      <w:bookmarkEnd w:id="120"/>
    </w:p>
    <w:bookmarkEnd w:id="121"/>
    <w:p w14:paraId="0BF48455" w14:textId="3BE8D97D" w:rsidR="008F29A3" w:rsidRDefault="00B07C83" w:rsidP="003230EC">
      <w:pPr>
        <w:spacing w:after="0"/>
      </w:pPr>
      <w:r>
        <w:rPr>
          <w:noProof/>
        </w:rPr>
        <mc:AlternateContent>
          <mc:Choice Requires="wps">
            <w:drawing>
              <wp:anchor distT="0" distB="0" distL="114300" distR="114300" simplePos="0" relativeHeight="251758592" behindDoc="0" locked="0" layoutInCell="1" allowOverlap="1" wp14:anchorId="07D54F22" wp14:editId="3E866704">
                <wp:simplePos x="0" y="0"/>
                <wp:positionH relativeFrom="column">
                  <wp:posOffset>4996180</wp:posOffset>
                </wp:positionH>
                <wp:positionV relativeFrom="paragraph">
                  <wp:posOffset>1899615</wp:posOffset>
                </wp:positionV>
                <wp:extent cx="420370" cy="1026897"/>
                <wp:effectExtent l="0" t="0" r="0" b="1905"/>
                <wp:wrapNone/>
                <wp:docPr id="1830071115" name="Rectangle 2"/>
                <wp:cNvGraphicFramePr/>
                <a:graphic xmlns:a="http://schemas.openxmlformats.org/drawingml/2006/main">
                  <a:graphicData uri="http://schemas.microsoft.com/office/word/2010/wordprocessingShape">
                    <wps:wsp>
                      <wps:cNvSpPr/>
                      <wps:spPr>
                        <a:xfrm>
                          <a:off x="0" y="0"/>
                          <a:ext cx="420370" cy="102689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9CB02F"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231FEA6B"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A70E1B7"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778FF0F6"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681BF225"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3255B1F"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7D54F22" id="_x0000_s1037" style="position:absolute;left:0;text-align:left;margin-left:393.4pt;margin-top:149.6pt;width:33.1pt;height:80.8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X0hQIAAGcFAAAOAAAAZHJzL2Uyb0RvYy54bWysVE1v2zAMvQ/YfxB0X21n6VcQpwhadBhQ&#10;tMHaoWdFlmIBsqhJSuzs14+SHSfthh2GXWxKJB/JJ5Lzm67RZCecV2BKWpzllAjDoVJmU9LvL/ef&#10;rijxgZmKaTCipHvh6c3i44d5a2diAjXoSjiCIMbPWlvSOgQ7yzLPa9EwfwZWGFRKcA0LeHSbrHKs&#10;RfRGZ5M8v8hacJV1wIX3eHvXK+ki4UspeHiS0otAdEkxt5C+Ln3X8Zst5my2cczWig9psH/IomHK&#10;YNAR6o4FRrZO/QbVKO7AgwxnHJoMpFRcpBqwmiJ/V81zzaxItSA53o40+f8Hyx93z3blkIbW+plH&#10;MVbRSdfEP+ZHukTWfiRLdIFwvJxO8s+XSClHVZFPLq6uLyOb2dHbOh++CGhIFErq8DESR2z34ENv&#10;ejCJwTxoVd0rrdMhNoC41Y7sGD7delMM4G+stIm2BqJXDxhvsmMpSQp7LaKdNt+EJKrC5CcpkdRl&#10;xyCMc2FC0atqVok+dnGe56lRsLTRIxWaACOyxPgj9gDwtoADdp/lYB9dRWrS0Tn/W2K98+iRIoMJ&#10;o3OjDLg/AWisaojc2x9I6qmJLIVu3SE3+JbJNF6todqvHHHQT423/F7hSz4wH1bM4Zjg6+Pohyf8&#10;SA1tSblWlpIa3M/3d9EOuxY1lLQ4biX1P7bMCUr0V4P9fF1Mp3E+02F6fjnBgzvVrE81ZtvcArZF&#10;gcvF8iRG+6APonTQvOJmWMaoqGKGY+yShoN4G/olgJuFi+UyGeFEWhYezLPlETrSG/vzpXtlzg5N&#10;HLD9H+EwmGz2rpd72+hpYLkNIFVq9CObA/E4zamDhs0T18XpOVkd9+PiFwAAAP//AwBQSwMEFAAG&#10;AAgAAAAhABYOxSfgAAAACwEAAA8AAABkcnMvZG93bnJldi54bWxMj0FLxDAUhO+C/yE8wZubWm1N&#10;a9NFBUEQhF2XPafN27bYvJQk7dZ/bzzpcZhh5ptqu5qRLej8YEnC7SYBhtRaPVAn4fD5eiOA+aBI&#10;q9ESSvhGD9v68qJSpbZn2uGyDx2LJeRLJaEPYSo5922PRvmNnZCid7LOqBCl67h26hzLzcjTJMm5&#10;UQPFhV5N+NJj+7WfjYRmef94XkQ2i6M57Za3rAiu1VJeX61Pj8ACruEvDL/4ER3qyNTYmbRno4QH&#10;kUf0ICEtihRYTIjsLr5rJNznSQG8rvj/D/UPAAAA//8DAFBLAQItABQABgAIAAAAIQC2gziS/gAA&#10;AOEBAAATAAAAAAAAAAAAAAAAAAAAAABbQ29udGVudF9UeXBlc10ueG1sUEsBAi0AFAAGAAgAAAAh&#10;ADj9If/WAAAAlAEAAAsAAAAAAAAAAAAAAAAALwEAAF9yZWxzLy5yZWxzUEsBAi0AFAAGAAgAAAAh&#10;AKIzxfSFAgAAZwUAAA4AAAAAAAAAAAAAAAAALgIAAGRycy9lMm9Eb2MueG1sUEsBAi0AFAAGAAgA&#10;AAAhABYOxSfgAAAACwEAAA8AAAAAAAAAAAAAAAAA3wQAAGRycy9kb3ducmV2LnhtbFBLBQYAAAAA&#10;BAAEAPMAAADsBQAAAAA=&#10;" fillcolor="white [3212]" stroked="f" strokeweight="2pt">
                <v:textbox>
                  <w:txbxContent>
                    <w:p w14:paraId="719CB02F"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231FEA6B"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A70E1B7"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778FF0F6"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681BF225"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p w14:paraId="13255B1F" w14:textId="77777777" w:rsidR="00B07C83" w:rsidRPr="00A20109" w:rsidRDefault="00B07C83" w:rsidP="00A20109">
                      <w:pPr>
                        <w:spacing w:after="60"/>
                        <w:rPr>
                          <w:rFonts w:cs="Arial"/>
                          <w:color w:val="000000"/>
                          <w:sz w:val="16"/>
                          <w:szCs w:val="16"/>
                        </w:rPr>
                      </w:pPr>
                      <w:proofErr w:type="spellStart"/>
                      <w:r w:rsidRPr="00A20109">
                        <w:rPr>
                          <w:rFonts w:cs="Arial"/>
                          <w:color w:val="000000"/>
                          <w:sz w:val="16"/>
                          <w:szCs w:val="16"/>
                        </w:rPr>
                        <w:t>n.p.</w:t>
                      </w:r>
                      <w:proofErr w:type="spellEnd"/>
                    </w:p>
                  </w:txbxContent>
                </v:textbox>
              </v:rect>
            </w:pict>
          </mc:Fallback>
        </mc:AlternateContent>
      </w:r>
      <w:r w:rsidR="00143588">
        <w:rPr>
          <w:noProof/>
        </w:rPr>
        <w:drawing>
          <wp:inline distT="0" distB="0" distL="0" distR="0" wp14:anchorId="38190617" wp14:editId="5D1622A6">
            <wp:extent cx="6049926" cy="3179109"/>
            <wp:effectExtent l="0" t="0" r="8255" b="2540"/>
            <wp:docPr id="8077536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57244" cy="3182954"/>
                    </a:xfrm>
                    <a:prstGeom prst="rect">
                      <a:avLst/>
                    </a:prstGeom>
                    <a:noFill/>
                  </pic:spPr>
                </pic:pic>
              </a:graphicData>
            </a:graphic>
          </wp:inline>
        </w:drawing>
      </w:r>
    </w:p>
    <w:p w14:paraId="5DE61537" w14:textId="4AF4FD9C" w:rsidR="00143588" w:rsidRDefault="00984E07" w:rsidP="00143588">
      <w:pPr>
        <w:rPr>
          <w:sz w:val="16"/>
          <w:szCs w:val="20"/>
        </w:rPr>
      </w:pPr>
      <w:r>
        <w:rPr>
          <w:sz w:val="16"/>
          <w:szCs w:val="20"/>
        </w:rPr>
        <w:t xml:space="preserve">Aus Gov – values </w:t>
      </w:r>
      <w:r w:rsidR="00143588">
        <w:rPr>
          <w:sz w:val="16"/>
          <w:szCs w:val="20"/>
        </w:rPr>
        <w:t xml:space="preserve">for the Australian Government </w:t>
      </w:r>
      <w:r w:rsidR="00143588" w:rsidRPr="00896069">
        <w:rPr>
          <w:sz w:val="16"/>
          <w:szCs w:val="20"/>
        </w:rPr>
        <w:t>have been suppressed.</w:t>
      </w:r>
    </w:p>
    <w:p w14:paraId="7E8A7C5D" w14:textId="7A23844F" w:rsidR="00984E07" w:rsidRPr="00A20109" w:rsidRDefault="00984E07" w:rsidP="00143588">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253827A4" w14:textId="3B37645E" w:rsidR="003E25A6" w:rsidRDefault="003E25A6">
      <w:pPr>
        <w:spacing w:after="200" w:line="276" w:lineRule="auto"/>
        <w:jc w:val="left"/>
        <w:rPr>
          <w:rFonts w:ascii="Arial Bold" w:eastAsiaTheme="majorEastAsia" w:hAnsi="Arial Bold" w:cs="Arial"/>
          <w:b/>
          <w:kern w:val="32"/>
          <w:sz w:val="28"/>
          <w:szCs w:val="22"/>
        </w:rPr>
      </w:pPr>
    </w:p>
    <w:p w14:paraId="48B1A17D" w14:textId="2B92040C" w:rsidR="003E25A6" w:rsidRDefault="009B4398" w:rsidP="003230EC">
      <w:pPr>
        <w:pStyle w:val="Heading1"/>
      </w:pPr>
      <w:bookmarkStart w:id="122" w:name="_Toc150245731"/>
      <w:r w:rsidRPr="00086AB2">
        <w:t>Other services</w:t>
      </w:r>
      <w:bookmarkEnd w:id="122"/>
      <w:r w:rsidR="00020A2B">
        <w:t xml:space="preserve"> </w:t>
      </w:r>
      <w:bookmarkStart w:id="123" w:name="_Hlk56773736"/>
    </w:p>
    <w:p w14:paraId="707C4C55" w14:textId="16F18A5F" w:rsidR="00905154" w:rsidRDefault="003A1B9E" w:rsidP="003E25A6">
      <w:pPr>
        <w:pStyle w:val="Heading3"/>
        <w:spacing w:before="120"/>
      </w:pPr>
      <w:bookmarkStart w:id="124" w:name="_Toc150245732"/>
      <w:r>
        <w:t>Frequency</w:t>
      </w:r>
      <w:r w:rsidR="00671BB0" w:rsidRPr="00102FDD">
        <w:t xml:space="preserve"> rates of serious claims for </w:t>
      </w:r>
      <w:proofErr w:type="gramStart"/>
      <w:r w:rsidR="009D46FF" w:rsidRPr="00102FDD">
        <w:t>O</w:t>
      </w:r>
      <w:r w:rsidR="00671BB0" w:rsidRPr="00102FDD">
        <w:t>ther</w:t>
      </w:r>
      <w:proofErr w:type="gramEnd"/>
      <w:r w:rsidR="00671BB0" w:rsidRPr="00102FDD">
        <w:t xml:space="preserve"> services by jurisdiction</w:t>
      </w:r>
      <w:bookmarkEnd w:id="123"/>
      <w:r w:rsidR="006F4EC3">
        <w:t xml:space="preserve"> (previously i</w:t>
      </w:r>
      <w:r w:rsidR="006F4EC3" w:rsidRPr="00102FDD">
        <w:t>ndicator 11</w:t>
      </w:r>
      <w:r w:rsidR="006F4EC3" w:rsidRPr="00102FDD">
        <w:rPr>
          <w:noProof/>
        </w:rPr>
        <w:fldChar w:fldCharType="begin"/>
      </w:r>
      <w:r w:rsidR="006F4EC3" w:rsidRPr="00102FDD">
        <w:rPr>
          <w:noProof/>
        </w:rPr>
        <w:instrText xml:space="preserve"> SEQ Indicator_11 \* alphabetic </w:instrText>
      </w:r>
      <w:r w:rsidR="006F4EC3" w:rsidRPr="00102FDD">
        <w:rPr>
          <w:noProof/>
        </w:rPr>
        <w:fldChar w:fldCharType="separate"/>
      </w:r>
      <w:r w:rsidR="006F4EC3">
        <w:rPr>
          <w:noProof/>
        </w:rPr>
        <w:t>s</w:t>
      </w:r>
      <w:r w:rsidR="006F4EC3" w:rsidRPr="00102FDD">
        <w:rPr>
          <w:noProof/>
        </w:rPr>
        <w:fldChar w:fldCharType="end"/>
      </w:r>
      <w:r w:rsidR="006F4EC3">
        <w:rPr>
          <w:noProof/>
        </w:rPr>
        <w:t>)</w:t>
      </w:r>
      <w:bookmarkEnd w:id="124"/>
    </w:p>
    <w:p w14:paraId="38D2A994" w14:textId="68D82639" w:rsidR="003230EC" w:rsidRDefault="00143588" w:rsidP="003230EC">
      <w:r>
        <w:rPr>
          <w:noProof/>
        </w:rPr>
        <w:drawing>
          <wp:inline distT="0" distB="0" distL="0" distR="0" wp14:anchorId="611E03A0" wp14:editId="7230BD8E">
            <wp:extent cx="6060559" cy="3086545"/>
            <wp:effectExtent l="0" t="0" r="0" b="0"/>
            <wp:docPr id="95953977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68359" cy="3090518"/>
                    </a:xfrm>
                    <a:prstGeom prst="rect">
                      <a:avLst/>
                    </a:prstGeom>
                    <a:noFill/>
                  </pic:spPr>
                </pic:pic>
              </a:graphicData>
            </a:graphic>
          </wp:inline>
        </w:drawing>
      </w:r>
    </w:p>
    <w:p w14:paraId="49CFE243" w14:textId="77777777" w:rsidR="00984E07" w:rsidRPr="005D2DF1" w:rsidRDefault="00984E07" w:rsidP="00984E07">
      <w:pPr>
        <w:rPr>
          <w:lang w:eastAsia="en-US"/>
        </w:rPr>
      </w:pPr>
      <w:r>
        <w:rPr>
          <w:sz w:val="16"/>
          <w:szCs w:val="20"/>
        </w:rPr>
        <w:t xml:space="preserve">ACT – includes workers’ compensation scheme data from the </w:t>
      </w:r>
      <w:r w:rsidRPr="000D785F">
        <w:rPr>
          <w:sz w:val="16"/>
          <w:szCs w:val="20"/>
        </w:rPr>
        <w:t xml:space="preserve">ACT </w:t>
      </w:r>
      <w:r>
        <w:rPr>
          <w:sz w:val="16"/>
          <w:szCs w:val="20"/>
        </w:rPr>
        <w:t xml:space="preserve">government </w:t>
      </w:r>
      <w:r w:rsidRPr="000D785F">
        <w:rPr>
          <w:sz w:val="16"/>
          <w:szCs w:val="20"/>
        </w:rPr>
        <w:t>sector</w:t>
      </w:r>
      <w:r>
        <w:rPr>
          <w:sz w:val="16"/>
          <w:szCs w:val="20"/>
        </w:rPr>
        <w:t xml:space="preserve"> and ACT private sector.</w:t>
      </w:r>
    </w:p>
    <w:p w14:paraId="1BD01E75" w14:textId="57123D18" w:rsidR="00984E07" w:rsidRPr="00086AB2" w:rsidRDefault="00984E07" w:rsidP="003230EC">
      <w:pPr>
        <w:sectPr w:rsidR="00984E07" w:rsidRPr="00086AB2" w:rsidSect="00B02854">
          <w:pgSz w:w="11906" w:h="16838"/>
          <w:pgMar w:top="1440" w:right="1800" w:bottom="1440" w:left="1276" w:header="708" w:footer="708" w:gutter="0"/>
          <w:cols w:space="242"/>
          <w:docGrid w:linePitch="360"/>
        </w:sectPr>
      </w:pPr>
    </w:p>
    <w:p w14:paraId="1A2D26B4" w14:textId="65CB9F6D" w:rsidR="00B747C9" w:rsidRPr="00086AB2" w:rsidRDefault="00B747C9" w:rsidP="001665F1">
      <w:pPr>
        <w:pStyle w:val="Title"/>
      </w:pPr>
      <w:bookmarkStart w:id="125" w:name="_Toc150245733"/>
      <w:r w:rsidRPr="00086AB2">
        <w:lastRenderedPageBreak/>
        <w:t xml:space="preserve">Appendix 1 </w:t>
      </w:r>
      <w:r w:rsidR="004132C1">
        <w:t>-</w:t>
      </w:r>
      <w:r w:rsidRPr="00086AB2">
        <w:t xml:space="preserve"> </w:t>
      </w:r>
      <w:r w:rsidR="00905C8B">
        <w:t>Further information</w:t>
      </w:r>
      <w:bookmarkEnd w:id="125"/>
    </w:p>
    <w:p w14:paraId="513283B5" w14:textId="393E54FD" w:rsidR="00B747C9" w:rsidRPr="00086AB2" w:rsidRDefault="00905C8B" w:rsidP="001665F1">
      <w:pPr>
        <w:pStyle w:val="Titlesmall"/>
      </w:pPr>
      <w:bookmarkStart w:id="126" w:name="_Toc150245734"/>
      <w:r>
        <w:t>Glossary</w:t>
      </w:r>
      <w:bookmarkEnd w:id="126"/>
    </w:p>
    <w:p w14:paraId="4DE92988" w14:textId="77777777" w:rsidR="00D07717" w:rsidRPr="000563EE" w:rsidRDefault="00D07717" w:rsidP="00D07717">
      <w:pPr>
        <w:rPr>
          <w:i/>
        </w:rPr>
      </w:pPr>
      <w:r w:rsidRPr="000563EE">
        <w:rPr>
          <w:i/>
        </w:rPr>
        <w:t>Definition of injury and disease</w:t>
      </w:r>
    </w:p>
    <w:p w14:paraId="04EB275E" w14:textId="77777777" w:rsidR="00D07717" w:rsidRPr="00086AB2" w:rsidRDefault="00D07717" w:rsidP="00D07717">
      <w:r w:rsidRPr="00086AB2">
        <w:t xml:space="preserve">Occupational injuries are defined as all employment-related injuries that are the result of a single traumatic event, occurring while a person is on duty or during a recess period at the workplace, and where there was a short or non-existent latency period. </w:t>
      </w:r>
    </w:p>
    <w:p w14:paraId="4C51F646" w14:textId="07178B8B" w:rsidR="00D07717" w:rsidRDefault="00D07717" w:rsidP="00D07717">
      <w:r w:rsidRPr="00086AB2">
        <w:t xml:space="preserve">Occupational diseases are defined as all employment-related diseases that result from repeated or </w:t>
      </w:r>
      <w:r w:rsidR="003C6117" w:rsidRPr="00086AB2">
        <w:t>long</w:t>
      </w:r>
      <w:r w:rsidR="003C6117">
        <w:t>-term</w:t>
      </w:r>
      <w:r w:rsidRPr="00086AB2">
        <w:t xml:space="preserve"> exposure to an agent(s) or event(s), or that are the result of a single event resulting in a disease (for example, the development of hepatitis following a single exposure to the infection).</w:t>
      </w:r>
      <w:r w:rsidRPr="000563EE">
        <w:t xml:space="preserve"> </w:t>
      </w:r>
      <w:r w:rsidRPr="00086AB2">
        <w:t>The data in this report do not cover all cases of occupational injury and diseases as workers’ compensation generally covers employees only</w:t>
      </w:r>
      <w:r>
        <w:t xml:space="preserve"> (not </w:t>
      </w:r>
      <w:r w:rsidRPr="00086AB2">
        <w:t>contractors and self-employed workers</w:t>
      </w:r>
      <w:r>
        <w:t>)</w:t>
      </w:r>
      <w:r w:rsidRPr="00086AB2">
        <w:t>.</w:t>
      </w:r>
      <w:r w:rsidRPr="000563EE">
        <w:t xml:space="preserve"> </w:t>
      </w:r>
      <w:r w:rsidR="00CE59CA">
        <w:t>The</w:t>
      </w:r>
      <w:r w:rsidRPr="00086AB2">
        <w:t xml:space="preserve"> incidence and frequency rates shown in this report for all industries </w:t>
      </w:r>
      <w:r w:rsidR="00C57770">
        <w:t>are calculated using a denominator that has</w:t>
      </w:r>
      <w:r w:rsidRPr="00086AB2">
        <w:t xml:space="preserve"> been adjusted to exclude self-employed persons.</w:t>
      </w:r>
    </w:p>
    <w:p w14:paraId="7F61ACF3" w14:textId="57823343" w:rsidR="00D07717" w:rsidRPr="00086AB2" w:rsidRDefault="00D07717" w:rsidP="00D07717">
      <w:pPr>
        <w:keepNext/>
        <w:keepLines/>
      </w:pPr>
      <w:r>
        <w:t xml:space="preserve">The data in this report has been classified using the </w:t>
      </w:r>
      <w:r w:rsidRPr="00086AB2">
        <w:t>Type of Occurrence Classification System (TOOCS)</w:t>
      </w:r>
      <w:r>
        <w:t>.</w:t>
      </w:r>
      <w:r w:rsidRPr="00086AB2">
        <w:t xml:space="preserve"> More information </w:t>
      </w:r>
      <w:r>
        <w:t xml:space="preserve">on the TOOCS can be </w:t>
      </w:r>
      <w:r w:rsidR="0055154B">
        <w:t xml:space="preserve">found </w:t>
      </w:r>
      <w:r w:rsidR="0055154B" w:rsidRPr="00086AB2">
        <w:t>on the</w:t>
      </w:r>
      <w:r w:rsidR="0055154B">
        <w:t xml:space="preserve"> </w:t>
      </w:r>
      <w:hyperlink r:id="rId60" w:history="1">
        <w:r w:rsidR="0055154B" w:rsidRPr="00F1009D">
          <w:rPr>
            <w:rStyle w:val="Hyperlink"/>
          </w:rPr>
          <w:t>interactive data website</w:t>
        </w:r>
      </w:hyperlink>
      <w:r w:rsidR="0055154B" w:rsidRPr="00086AB2">
        <w:t xml:space="preserve">. </w:t>
      </w:r>
    </w:p>
    <w:p w14:paraId="6134D817" w14:textId="77777777" w:rsidR="00D07717" w:rsidRPr="000563EE" w:rsidRDefault="00D07717" w:rsidP="00D07717">
      <w:pPr>
        <w:rPr>
          <w:i/>
          <w:iCs/>
        </w:rPr>
      </w:pPr>
      <w:r>
        <w:rPr>
          <w:i/>
          <w:iCs/>
        </w:rPr>
        <w:t>Exclusions</w:t>
      </w:r>
    </w:p>
    <w:p w14:paraId="4352E743" w14:textId="77777777" w:rsidR="00D07717" w:rsidRPr="00086AB2" w:rsidRDefault="00D07717" w:rsidP="00D07717">
      <w:r>
        <w:t>T</w:t>
      </w:r>
      <w:r w:rsidRPr="00086AB2">
        <w:t>he following have been excluded from the data in this report:</w:t>
      </w:r>
    </w:p>
    <w:p w14:paraId="5E7EC74F" w14:textId="77777777" w:rsidR="00D07717" w:rsidRPr="00086AB2" w:rsidRDefault="00D07717" w:rsidP="00D07717">
      <w:pPr>
        <w:pStyle w:val="SWABullets"/>
      </w:pPr>
      <w:r w:rsidRPr="00086AB2">
        <w:t xml:space="preserve">occupational injuries and diseases resulting in absences from work of less than </w:t>
      </w:r>
      <w:r w:rsidRPr="00086AB2">
        <w:br/>
        <w:t>one working week</w:t>
      </w:r>
      <w:r>
        <w:t>,</w:t>
      </w:r>
    </w:p>
    <w:p w14:paraId="40B116F6" w14:textId="4F2A9311" w:rsidR="00D07717" w:rsidRPr="00086AB2" w:rsidRDefault="00CE770C" w:rsidP="00D07717">
      <w:pPr>
        <w:pStyle w:val="SWABullets"/>
      </w:pPr>
      <w:r w:rsidRPr="00CE770C">
        <w:t xml:space="preserve">police in Western Australia </w:t>
      </w:r>
      <w:r>
        <w:t xml:space="preserve">and </w:t>
      </w:r>
      <w:r w:rsidR="00D07717" w:rsidRPr="00086AB2">
        <w:t>military personnel within the Defence force</w:t>
      </w:r>
      <w:r w:rsidR="00D07717">
        <w:t>,</w:t>
      </w:r>
    </w:p>
    <w:p w14:paraId="64CABF78" w14:textId="0B99EB4A" w:rsidR="00D07717" w:rsidRPr="00086AB2" w:rsidRDefault="00D07717" w:rsidP="00D07717">
      <w:pPr>
        <w:pStyle w:val="SWABullets"/>
      </w:pPr>
      <w:r w:rsidRPr="00086AB2">
        <w:t>cases not claimed as workers’ compensation or not acknowledged as being</w:t>
      </w:r>
      <w:r>
        <w:br/>
      </w:r>
      <w:r w:rsidRPr="00086AB2">
        <w:t>work</w:t>
      </w:r>
      <w:r>
        <w:noBreakHyphen/>
        <w:t>r</w:t>
      </w:r>
      <w:r w:rsidRPr="00086AB2">
        <w:t>elated, and</w:t>
      </w:r>
    </w:p>
    <w:p w14:paraId="51205235" w14:textId="77777777" w:rsidR="00D07717" w:rsidRPr="00086AB2" w:rsidRDefault="00D07717" w:rsidP="00D07717">
      <w:pPr>
        <w:pStyle w:val="SWABullets"/>
      </w:pPr>
      <w:r w:rsidRPr="00086AB2">
        <w:t>claims for compensation to the Dust Diseases Authority of New South Wales.</w:t>
      </w:r>
    </w:p>
    <w:p w14:paraId="3D8169E4" w14:textId="33C20BA4" w:rsidR="00A54093" w:rsidRPr="00782BAF" w:rsidRDefault="00A54093" w:rsidP="00B747C9">
      <w:pPr>
        <w:rPr>
          <w:i/>
        </w:rPr>
      </w:pPr>
      <w:r>
        <w:rPr>
          <w:i/>
        </w:rPr>
        <w:t>National Data Set for Compensation-based Statistics</w:t>
      </w:r>
    </w:p>
    <w:p w14:paraId="3143BA47" w14:textId="5C4BEA79" w:rsidR="00B747C9" w:rsidRPr="000563EE" w:rsidRDefault="00B747C9" w:rsidP="00B747C9">
      <w:r w:rsidRPr="00086AB2">
        <w:t xml:space="preserve">The data presented in this report are extracted from the National Data Set for Compensation-based Statistics (NDS), which is compiled annually from claims made under state, </w:t>
      </w:r>
      <w:proofErr w:type="gramStart"/>
      <w:r w:rsidRPr="00086AB2">
        <w:t>territory</w:t>
      </w:r>
      <w:proofErr w:type="gramEnd"/>
      <w:r w:rsidRPr="00086AB2">
        <w:t xml:space="preserve"> and </w:t>
      </w:r>
      <w:r w:rsidR="006A3630" w:rsidRPr="00086AB2">
        <w:t xml:space="preserve">Commonwealth </w:t>
      </w:r>
      <w:r w:rsidRPr="00086AB2">
        <w:t xml:space="preserve">workers’ compensation Acts. The New Zealand Accident Compensation Corporation (ACC) also </w:t>
      </w:r>
      <w:r w:rsidRPr="000563EE">
        <w:t xml:space="preserve">collects data in accordance with the NDS. </w:t>
      </w:r>
      <w:r w:rsidR="00754853" w:rsidRPr="000563EE">
        <w:t xml:space="preserve">Further information about the NDS can be found on </w:t>
      </w:r>
      <w:r w:rsidR="0055154B" w:rsidRPr="000563EE">
        <w:t>the</w:t>
      </w:r>
      <w:r w:rsidR="0055154B">
        <w:t xml:space="preserve"> </w:t>
      </w:r>
      <w:hyperlink r:id="rId61" w:history="1">
        <w:r w:rsidR="0055154B" w:rsidRPr="00D810F2">
          <w:rPr>
            <w:rStyle w:val="Hyperlink"/>
          </w:rPr>
          <w:t>interactive data website</w:t>
        </w:r>
      </w:hyperlink>
      <w:r w:rsidR="0055154B" w:rsidRPr="000563EE">
        <w:t>.</w:t>
      </w:r>
    </w:p>
    <w:p w14:paraId="345AD107" w14:textId="2CC8D24F" w:rsidR="00A54093" w:rsidRPr="00782BAF" w:rsidRDefault="00654E9D" w:rsidP="00B747C9">
      <w:pPr>
        <w:rPr>
          <w:i/>
        </w:rPr>
      </w:pPr>
      <w:r>
        <w:rPr>
          <w:i/>
        </w:rPr>
        <w:t>Serious claim</w:t>
      </w:r>
    </w:p>
    <w:p w14:paraId="0E4E09DE" w14:textId="6567EE48" w:rsidR="00B747C9" w:rsidRDefault="00654E9D" w:rsidP="00B747C9">
      <w:r>
        <w:t>A</w:t>
      </w:r>
      <w:r w:rsidR="00B747C9" w:rsidRPr="00086AB2">
        <w:t xml:space="preserve"> serious claim is a workers’ compensation claim for an incapacity that results in a total absence from work of one working week or more. Claims excluded from this definition include those arising from a work-related fatality or a journey to or from work or during a recess period. One working week is defined as lost when the number of hours lost is greater than or equal to the number of hours usually worked per week.</w:t>
      </w:r>
    </w:p>
    <w:p w14:paraId="29C29A2F" w14:textId="77777777" w:rsidR="00D07717" w:rsidRPr="000563EE" w:rsidRDefault="00D07717" w:rsidP="00D07717">
      <w:r w:rsidRPr="000563EE">
        <w:rPr>
          <w:i/>
        </w:rPr>
        <w:t>Traumatic Injury Fatalities</w:t>
      </w:r>
    </w:p>
    <w:p w14:paraId="29A1C861" w14:textId="5A291C7E" w:rsidR="00D07717" w:rsidRPr="00086AB2" w:rsidRDefault="00D07717" w:rsidP="00D07717">
      <w:r w:rsidRPr="000563EE">
        <w:t>This edition sources information from the Traumatic Injury Fatalities (TIF) collection. This collection sources data from workers’ compensation data, fatality notifications to the various</w:t>
      </w:r>
      <w:r w:rsidR="00BA0B6C">
        <w:t xml:space="preserve"> WHS</w:t>
      </w:r>
      <w:r w:rsidRPr="000563EE">
        <w:t xml:space="preserve"> authorities and information in the National Coronial Information System (NCIS). Further information about the TIF collection can be </w:t>
      </w:r>
      <w:r w:rsidR="0055154B" w:rsidRPr="000563EE">
        <w:t>found on the</w:t>
      </w:r>
      <w:r w:rsidR="0055154B">
        <w:t xml:space="preserve"> </w:t>
      </w:r>
      <w:hyperlink r:id="rId62" w:history="1">
        <w:r w:rsidR="0055154B" w:rsidRPr="00F1009D">
          <w:rPr>
            <w:rStyle w:val="Hyperlink"/>
          </w:rPr>
          <w:t>interactive data website</w:t>
        </w:r>
      </w:hyperlink>
      <w:r w:rsidR="0055154B" w:rsidRPr="00086AB2">
        <w:t>.</w:t>
      </w:r>
    </w:p>
    <w:p w14:paraId="44161961" w14:textId="77777777" w:rsidR="006F4EC3" w:rsidRDefault="006F4EC3">
      <w:pPr>
        <w:spacing w:after="200" w:line="276" w:lineRule="auto"/>
        <w:jc w:val="left"/>
        <w:rPr>
          <w:rFonts w:ascii="Arial Bold" w:eastAsiaTheme="majorEastAsia" w:hAnsi="Arial Bold" w:cs="Arial"/>
          <w:b/>
          <w:bCs/>
          <w:color w:val="C00000"/>
          <w:kern w:val="28"/>
          <w:sz w:val="32"/>
          <w:szCs w:val="32"/>
          <w:lang w:eastAsia="en-US"/>
        </w:rPr>
      </w:pPr>
      <w:r>
        <w:br w:type="page"/>
      </w:r>
    </w:p>
    <w:p w14:paraId="21EFD459" w14:textId="4B562D56" w:rsidR="00ED47E7" w:rsidRPr="00D07717" w:rsidRDefault="00ED47E7" w:rsidP="00D07717">
      <w:pPr>
        <w:pStyle w:val="Titlesmall"/>
      </w:pPr>
      <w:bookmarkStart w:id="127" w:name="_Toc150245735"/>
      <w:r w:rsidRPr="00D07717">
        <w:lastRenderedPageBreak/>
        <w:t>Time series and adjustment of scheme data</w:t>
      </w:r>
      <w:bookmarkEnd w:id="127"/>
    </w:p>
    <w:p w14:paraId="08B21AED" w14:textId="5EA8312A" w:rsidR="00ED47E7" w:rsidRPr="00086AB2" w:rsidRDefault="00ED47E7" w:rsidP="00ED47E7">
      <w:r w:rsidRPr="00086AB2">
        <w:t>The estimates of the number of employees and their hours worked for Australia are supplied by the Australian Bureau of Statistics and these denominator data are based on the Labour Force Survey, the Survey of Employment and Earnings and data provided by Comcare</w:t>
      </w:r>
      <w:r w:rsidR="006F009C">
        <w:t xml:space="preserve"> and</w:t>
      </w:r>
      <w:r w:rsidR="00364478">
        <w:t xml:space="preserve"> the Australian Capital </w:t>
      </w:r>
      <w:r w:rsidR="00240C58">
        <w:t>Territory</w:t>
      </w:r>
      <w:r w:rsidR="00D06582">
        <w:t xml:space="preserve"> </w:t>
      </w:r>
      <w:r w:rsidR="00364478">
        <w:t>Government.</w:t>
      </w:r>
      <w:r w:rsidRPr="00086AB2">
        <w:t xml:space="preserve"> Further adjustments are performed using data from the Census</w:t>
      </w:r>
      <w:r w:rsidR="0072547B">
        <w:t>.</w:t>
      </w:r>
      <w:r w:rsidRPr="00086AB2">
        <w:t xml:space="preserve"> These data are matched to the scope of the claims data but may not be exact, particularly in the smaller jurisdictions, due to the number of employees being derived from a survey of the population rather than a census. </w:t>
      </w:r>
    </w:p>
    <w:p w14:paraId="33BF993D" w14:textId="37A21E15" w:rsidR="00ED47E7" w:rsidRPr="00086AB2" w:rsidRDefault="00ED47E7" w:rsidP="00ED47E7">
      <w:r w:rsidRPr="00086AB2">
        <w:t>The New Zealand employment data used has been sourced from the New Zealand census information.</w:t>
      </w:r>
    </w:p>
    <w:p w14:paraId="58669A44" w14:textId="5C3E7F03" w:rsidR="00ED47E7" w:rsidRPr="00086AB2" w:rsidRDefault="00ED47E7" w:rsidP="00EA124A">
      <w:pPr>
        <w:keepNext/>
        <w:keepLines/>
      </w:pPr>
      <w:r w:rsidRPr="00086AB2">
        <w:t>Incidence and frequency rates, especially for the most recent years, are expected to rise as the number of accepted claims increases</w:t>
      </w:r>
      <w:r w:rsidR="00001159">
        <w:t>,</w:t>
      </w:r>
      <w:r w:rsidRPr="00086AB2">
        <w:t xml:space="preserve"> as </w:t>
      </w:r>
      <w:r w:rsidR="00001159">
        <w:t>more claim</w:t>
      </w:r>
      <w:r w:rsidR="0065175C">
        <w:t>s</w:t>
      </w:r>
      <w:r w:rsidR="00001159">
        <w:t xml:space="preserve"> are lodged and finalised</w:t>
      </w:r>
      <w:r w:rsidRPr="00086AB2">
        <w:t>. This may involve additional claims being accepted or shorter-term claims with temporary incapacity incurring additional time lost and subsequently matching the definition of a serious claim: one that involves one or more working weeks of time lost.</w:t>
      </w:r>
    </w:p>
    <w:p w14:paraId="73390C20" w14:textId="1F30B081" w:rsidR="00ED47E7" w:rsidRPr="00086AB2" w:rsidRDefault="00ED47E7" w:rsidP="00ED47E7">
      <w:r w:rsidRPr="00086AB2">
        <w:t xml:space="preserve">Claims data shown in this report for </w:t>
      </w:r>
      <w:r w:rsidR="004417B4" w:rsidRPr="00086AB2">
        <w:t>20</w:t>
      </w:r>
      <w:r w:rsidR="005E49E0">
        <w:t>2</w:t>
      </w:r>
      <w:r w:rsidR="003230EC">
        <w:t>1</w:t>
      </w:r>
      <w:r w:rsidR="004417B4" w:rsidRPr="00086AB2">
        <w:t>–</w:t>
      </w:r>
      <w:r w:rsidR="00905C8B">
        <w:t>2</w:t>
      </w:r>
      <w:r w:rsidR="003230EC">
        <w:t>2</w:t>
      </w:r>
      <w:r w:rsidRPr="00086AB2">
        <w:t xml:space="preserve"> </w:t>
      </w:r>
      <w:proofErr w:type="gramStart"/>
      <w:r w:rsidRPr="00086AB2">
        <w:t>are</w:t>
      </w:r>
      <w:proofErr w:type="gramEnd"/>
      <w:r w:rsidRPr="00086AB2">
        <w:t xml:space="preserve"> preliminary</w:t>
      </w:r>
      <w:r w:rsidR="00D06582">
        <w:t xml:space="preserve"> </w:t>
      </w:r>
      <w:r w:rsidR="00436D3E">
        <w:t>and likely to change</w:t>
      </w:r>
      <w:r w:rsidRPr="00086AB2">
        <w:t>. Therefore</w:t>
      </w:r>
      <w:r w:rsidR="00384890">
        <w:t>,</w:t>
      </w:r>
      <w:r w:rsidRPr="00086AB2">
        <w:t xml:space="preserve"> these data </w:t>
      </w:r>
      <w:r w:rsidR="00384890">
        <w:t xml:space="preserve">items </w:t>
      </w:r>
      <w:r w:rsidRPr="00086AB2">
        <w:t xml:space="preserve">are likely to be understated and a comparison of </w:t>
      </w:r>
      <w:r w:rsidR="004417B4" w:rsidRPr="00086AB2">
        <w:t>20</w:t>
      </w:r>
      <w:r w:rsidR="00123338">
        <w:t>20</w:t>
      </w:r>
      <w:r w:rsidR="004417B4" w:rsidRPr="00086AB2">
        <w:t>–</w:t>
      </w:r>
      <w:r w:rsidR="005E49E0">
        <w:t>2</w:t>
      </w:r>
      <w:r w:rsidR="00123338">
        <w:t>1</w:t>
      </w:r>
      <w:r w:rsidRPr="00086AB2">
        <w:t xml:space="preserve"> data with those of previous years should be undertaken with caution. </w:t>
      </w:r>
    </w:p>
    <w:p w14:paraId="6E931744" w14:textId="661DC2CA" w:rsidR="00ED47E7" w:rsidRPr="00086AB2" w:rsidRDefault="00436D3E" w:rsidP="00ED47E7">
      <w:r>
        <w:t xml:space="preserve">A range of factors can affect </w:t>
      </w:r>
      <w:r w:rsidR="00D06582">
        <w:t xml:space="preserve">the </w:t>
      </w:r>
      <w:r w:rsidR="00ED47E7" w:rsidRPr="00086AB2">
        <w:t>analysi</w:t>
      </w:r>
      <w:r w:rsidR="00D06582">
        <w:t>s of</w:t>
      </w:r>
      <w:r w:rsidR="00ED47E7" w:rsidRPr="00086AB2">
        <w:t xml:space="preserve"> trends over time</w:t>
      </w:r>
      <w:r w:rsidR="00240C58">
        <w:t>,</w:t>
      </w:r>
      <w:r>
        <w:t xml:space="preserve"> </w:t>
      </w:r>
      <w:r w:rsidR="009A04AC">
        <w:t>includ</w:t>
      </w:r>
      <w:r w:rsidR="00240C58">
        <w:t>ing changes to</w:t>
      </w:r>
      <w:r w:rsidR="009A04AC">
        <w:t xml:space="preserve"> jurisdictions’ legislative and administrative </w:t>
      </w:r>
      <w:r w:rsidR="00240C58">
        <w:t>arrangements</w:t>
      </w:r>
      <w:r w:rsidR="009A04AC">
        <w:t>.</w:t>
      </w:r>
      <w:r w:rsidR="00ED47E7" w:rsidRPr="00086AB2">
        <w:t xml:space="preserve"> </w:t>
      </w:r>
      <w:r w:rsidR="009A04AC">
        <w:t>F</w:t>
      </w:r>
      <w:r w:rsidR="00ED47E7" w:rsidRPr="00086AB2">
        <w:t xml:space="preserve">urther details of </w:t>
      </w:r>
      <w:r w:rsidR="009A04AC">
        <w:t>these changes</w:t>
      </w:r>
      <w:r w:rsidR="00ED47E7" w:rsidRPr="00086AB2">
        <w:t xml:space="preserve"> should be sought from the jurisdictions. Any commentary relating to these comparisons should be interpreted carefully. </w:t>
      </w:r>
    </w:p>
    <w:p w14:paraId="21264A02" w14:textId="38EE1BA5" w:rsidR="00905C8B" w:rsidRPr="00086AB2" w:rsidRDefault="00905C8B" w:rsidP="00ED47E7">
      <w:r>
        <w:t>More information on adjustments made to jurisdictions’ data can be found</w:t>
      </w:r>
      <w:r w:rsidR="00754853">
        <w:t xml:space="preserve"> in the </w:t>
      </w:r>
      <w:r w:rsidR="00754853" w:rsidRPr="00754853">
        <w:t>Explanatory notes: National data set for compensation-based statistics for Safe Work Australia</w:t>
      </w:r>
      <w:r>
        <w:t xml:space="preserve"> </w:t>
      </w:r>
      <w:r w:rsidR="0055154B">
        <w:t>on</w:t>
      </w:r>
      <w:bookmarkStart w:id="128" w:name="_Hlk150419759"/>
      <w:r w:rsidR="0055154B">
        <w:t xml:space="preserve"> the </w:t>
      </w:r>
      <w:hyperlink r:id="rId63" w:history="1">
        <w:r w:rsidR="0055154B" w:rsidRPr="00BF5AF0">
          <w:rPr>
            <w:rStyle w:val="Hyperlink"/>
          </w:rPr>
          <w:t>interactive data website</w:t>
        </w:r>
      </w:hyperlink>
      <w:r w:rsidR="0055154B">
        <w:t>.</w:t>
      </w:r>
      <w:bookmarkEnd w:id="128"/>
    </w:p>
    <w:sectPr w:rsidR="00905C8B" w:rsidRPr="00086AB2" w:rsidSect="00B02854">
      <w:headerReference w:type="first" r:id="rId64"/>
      <w:pgSz w:w="11906" w:h="16838"/>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2F19" w14:textId="77777777" w:rsidR="00AE2FD5" w:rsidRDefault="00AE2FD5" w:rsidP="003411E8">
      <w:r>
        <w:separator/>
      </w:r>
    </w:p>
  </w:endnote>
  <w:endnote w:type="continuationSeparator" w:id="0">
    <w:p w14:paraId="1603E7DF" w14:textId="77777777" w:rsidR="00AE2FD5" w:rsidRDefault="00AE2FD5"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B069" w14:textId="77777777" w:rsidR="009A79D8" w:rsidRDefault="009A7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938542"/>
      <w:docPartObj>
        <w:docPartGallery w:val="Page Numbers (Bottom of Page)"/>
        <w:docPartUnique/>
      </w:docPartObj>
    </w:sdtPr>
    <w:sdtEndPr>
      <w:rPr>
        <w:noProof/>
      </w:rPr>
    </w:sdtEndPr>
    <w:sdtContent>
      <w:p w14:paraId="2D7C65E7" w14:textId="77777777" w:rsidR="009612E6" w:rsidRDefault="009612E6" w:rsidP="00E754C1">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D5B6" w14:textId="77777777" w:rsidR="009612E6" w:rsidRDefault="009612E6">
    <w:pPr>
      <w:pStyle w:val="Footer"/>
      <w:jc w:val="right"/>
    </w:pPr>
  </w:p>
  <w:p w14:paraId="38EB85AD" w14:textId="77777777" w:rsidR="009612E6" w:rsidRPr="00510E89" w:rsidRDefault="009612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50089"/>
      <w:docPartObj>
        <w:docPartGallery w:val="Page Numbers (Bottom of Page)"/>
        <w:docPartUnique/>
      </w:docPartObj>
    </w:sdtPr>
    <w:sdtEndPr>
      <w:rPr>
        <w:noProof/>
      </w:rPr>
    </w:sdtEndPr>
    <w:sdtContent>
      <w:p w14:paraId="700C1641" w14:textId="77777777" w:rsidR="009612E6" w:rsidRDefault="009612E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ABEA5CA" w14:textId="77777777" w:rsidR="009612E6" w:rsidRPr="00510E89" w:rsidRDefault="00961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DA9E" w14:textId="77777777" w:rsidR="00AE2FD5" w:rsidRDefault="00AE2FD5" w:rsidP="003411E8">
      <w:r>
        <w:separator/>
      </w:r>
    </w:p>
  </w:footnote>
  <w:footnote w:type="continuationSeparator" w:id="0">
    <w:p w14:paraId="5F6B8B29" w14:textId="77777777" w:rsidR="00AE2FD5" w:rsidRDefault="00AE2FD5"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15FA" w14:textId="77777777" w:rsidR="009A79D8" w:rsidRDefault="009A7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828C" w14:textId="77777777" w:rsidR="009A79D8" w:rsidRDefault="009A7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2BD5" w14:textId="77777777" w:rsidR="009612E6" w:rsidRDefault="009612E6" w:rsidP="00C07BFE">
    <w:pPr>
      <w:pStyle w:val="Header"/>
      <w:tabs>
        <w:tab w:val="left" w:pos="28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EAA8" w14:textId="77777777" w:rsidR="009612E6" w:rsidRDefault="009612E6"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94FD" w14:textId="77777777" w:rsidR="009612E6" w:rsidRDefault="009612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B50C" w14:textId="77777777" w:rsidR="009612E6" w:rsidRDefault="009612E6"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20AE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8A44EB"/>
    <w:multiLevelType w:val="multilevel"/>
    <w:tmpl w:val="573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311F3F"/>
    <w:multiLevelType w:val="hybridMultilevel"/>
    <w:tmpl w:val="ECA4D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1A2FBC"/>
    <w:multiLevelType w:val="hybridMultilevel"/>
    <w:tmpl w:val="FB160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626F67"/>
    <w:multiLevelType w:val="hybridMultilevel"/>
    <w:tmpl w:val="45CC368A"/>
    <w:lvl w:ilvl="0" w:tplc="59EE69A0">
      <w:start w:val="1"/>
      <w:numFmt w:val="lowerLetter"/>
      <w:pStyle w:val="SWAnumbering"/>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0807D2F"/>
    <w:multiLevelType w:val="hybridMultilevel"/>
    <w:tmpl w:val="71809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7054AE"/>
    <w:multiLevelType w:val="hybridMultilevel"/>
    <w:tmpl w:val="C4127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137DFE"/>
    <w:multiLevelType w:val="multilevel"/>
    <w:tmpl w:val="4BDA3DC4"/>
    <w:numStyleLink w:val="SecNumb"/>
  </w:abstractNum>
  <w:abstractNum w:abstractNumId="11" w15:restartNumberingAfterBreak="0">
    <w:nsid w:val="70A5293C"/>
    <w:multiLevelType w:val="hybridMultilevel"/>
    <w:tmpl w:val="48CC3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lvlText w:val="%1.%2"/>
      <w:lvlJc w:val="left"/>
      <w:pPr>
        <w:ind w:left="142"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7C9E7B7D"/>
    <w:multiLevelType w:val="hybridMultilevel"/>
    <w:tmpl w:val="59DE2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5093469">
    <w:abstractNumId w:val="2"/>
  </w:num>
  <w:num w:numId="2" w16cid:durableId="378163021">
    <w:abstractNumId w:val="4"/>
  </w:num>
  <w:num w:numId="3" w16cid:durableId="256906075">
    <w:abstractNumId w:val="7"/>
  </w:num>
  <w:num w:numId="4" w16cid:durableId="1479759127">
    <w:abstractNumId w:val="12"/>
  </w:num>
  <w:num w:numId="5" w16cid:durableId="1534224409">
    <w:abstractNumId w:val="10"/>
  </w:num>
  <w:num w:numId="6" w16cid:durableId="1158351652">
    <w:abstractNumId w:val="0"/>
  </w:num>
  <w:num w:numId="7" w16cid:durableId="1501579999">
    <w:abstractNumId w:val="11"/>
  </w:num>
  <w:num w:numId="8" w16cid:durableId="1474524432">
    <w:abstractNumId w:val="5"/>
  </w:num>
  <w:num w:numId="9" w16cid:durableId="656880960">
    <w:abstractNumId w:val="3"/>
  </w:num>
  <w:num w:numId="10" w16cid:durableId="369064622">
    <w:abstractNumId w:val="13"/>
  </w:num>
  <w:num w:numId="11" w16cid:durableId="1106652718">
    <w:abstractNumId w:val="8"/>
  </w:num>
  <w:num w:numId="12" w16cid:durableId="1213343601">
    <w:abstractNumId w:val="9"/>
  </w:num>
  <w:num w:numId="13" w16cid:durableId="1429691434">
    <w:abstractNumId w:val="6"/>
  </w:num>
  <w:num w:numId="14" w16cid:durableId="146977905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331a8ac-b95f-4b87-aa30-720e89f286c6"/>
  </w:docVars>
  <w:rsids>
    <w:rsidRoot w:val="00077368"/>
    <w:rsid w:val="00001159"/>
    <w:rsid w:val="00002196"/>
    <w:rsid w:val="000026C8"/>
    <w:rsid w:val="0000289A"/>
    <w:rsid w:val="00002B4C"/>
    <w:rsid w:val="0000417E"/>
    <w:rsid w:val="00005797"/>
    <w:rsid w:val="000062EA"/>
    <w:rsid w:val="0000657D"/>
    <w:rsid w:val="00006B89"/>
    <w:rsid w:val="00006FCF"/>
    <w:rsid w:val="00007127"/>
    <w:rsid w:val="0000729A"/>
    <w:rsid w:val="0000770D"/>
    <w:rsid w:val="000107AB"/>
    <w:rsid w:val="00012038"/>
    <w:rsid w:val="00012363"/>
    <w:rsid w:val="000135E2"/>
    <w:rsid w:val="00013A5D"/>
    <w:rsid w:val="00016064"/>
    <w:rsid w:val="000171F0"/>
    <w:rsid w:val="00017CA2"/>
    <w:rsid w:val="00020821"/>
    <w:rsid w:val="00020A2B"/>
    <w:rsid w:val="00020DBC"/>
    <w:rsid w:val="000233C2"/>
    <w:rsid w:val="0002378C"/>
    <w:rsid w:val="000244D2"/>
    <w:rsid w:val="00024AB7"/>
    <w:rsid w:val="00025CFE"/>
    <w:rsid w:val="00026223"/>
    <w:rsid w:val="000265CC"/>
    <w:rsid w:val="000267EE"/>
    <w:rsid w:val="00026B7E"/>
    <w:rsid w:val="00027F88"/>
    <w:rsid w:val="0003037C"/>
    <w:rsid w:val="000304FC"/>
    <w:rsid w:val="00031A5C"/>
    <w:rsid w:val="0003244F"/>
    <w:rsid w:val="00034C08"/>
    <w:rsid w:val="00034DB6"/>
    <w:rsid w:val="000361A7"/>
    <w:rsid w:val="00036775"/>
    <w:rsid w:val="00037DD2"/>
    <w:rsid w:val="00040AB3"/>
    <w:rsid w:val="0004108C"/>
    <w:rsid w:val="0004220E"/>
    <w:rsid w:val="000429D7"/>
    <w:rsid w:val="00042B7A"/>
    <w:rsid w:val="00042BDB"/>
    <w:rsid w:val="00042C6C"/>
    <w:rsid w:val="00050658"/>
    <w:rsid w:val="000520C4"/>
    <w:rsid w:val="0005327F"/>
    <w:rsid w:val="0005433E"/>
    <w:rsid w:val="00055A54"/>
    <w:rsid w:val="000563EE"/>
    <w:rsid w:val="00056EAA"/>
    <w:rsid w:val="000577A0"/>
    <w:rsid w:val="00057827"/>
    <w:rsid w:val="00061B2E"/>
    <w:rsid w:val="0006248B"/>
    <w:rsid w:val="000625F3"/>
    <w:rsid w:val="00062F12"/>
    <w:rsid w:val="00064875"/>
    <w:rsid w:val="000658BD"/>
    <w:rsid w:val="00066D3B"/>
    <w:rsid w:val="0006710C"/>
    <w:rsid w:val="00071286"/>
    <w:rsid w:val="0007228B"/>
    <w:rsid w:val="00072B22"/>
    <w:rsid w:val="00072EC0"/>
    <w:rsid w:val="00073A07"/>
    <w:rsid w:val="00075FCD"/>
    <w:rsid w:val="00077148"/>
    <w:rsid w:val="00077368"/>
    <w:rsid w:val="000774C3"/>
    <w:rsid w:val="00077D9A"/>
    <w:rsid w:val="00081F90"/>
    <w:rsid w:val="0008200E"/>
    <w:rsid w:val="000847F1"/>
    <w:rsid w:val="00084AEE"/>
    <w:rsid w:val="00085CC6"/>
    <w:rsid w:val="00085F25"/>
    <w:rsid w:val="000862E5"/>
    <w:rsid w:val="00086AB2"/>
    <w:rsid w:val="00086ABC"/>
    <w:rsid w:val="00087672"/>
    <w:rsid w:val="00087AAF"/>
    <w:rsid w:val="00087C7D"/>
    <w:rsid w:val="00087E20"/>
    <w:rsid w:val="00091147"/>
    <w:rsid w:val="00091F06"/>
    <w:rsid w:val="00092250"/>
    <w:rsid w:val="000925F1"/>
    <w:rsid w:val="00092643"/>
    <w:rsid w:val="00093FF6"/>
    <w:rsid w:val="00094BB6"/>
    <w:rsid w:val="00094F83"/>
    <w:rsid w:val="0009576A"/>
    <w:rsid w:val="00095772"/>
    <w:rsid w:val="00095DC2"/>
    <w:rsid w:val="00096F32"/>
    <w:rsid w:val="000A105F"/>
    <w:rsid w:val="000A1B0E"/>
    <w:rsid w:val="000A1C63"/>
    <w:rsid w:val="000A2013"/>
    <w:rsid w:val="000A34EC"/>
    <w:rsid w:val="000A3553"/>
    <w:rsid w:val="000A4B8E"/>
    <w:rsid w:val="000A4BCB"/>
    <w:rsid w:val="000A56F6"/>
    <w:rsid w:val="000A7E83"/>
    <w:rsid w:val="000B0736"/>
    <w:rsid w:val="000B15CF"/>
    <w:rsid w:val="000B1DE9"/>
    <w:rsid w:val="000B2046"/>
    <w:rsid w:val="000B3499"/>
    <w:rsid w:val="000B372D"/>
    <w:rsid w:val="000B386A"/>
    <w:rsid w:val="000B3DD8"/>
    <w:rsid w:val="000B3F36"/>
    <w:rsid w:val="000B4550"/>
    <w:rsid w:val="000B49AD"/>
    <w:rsid w:val="000B53FF"/>
    <w:rsid w:val="000B630E"/>
    <w:rsid w:val="000B6602"/>
    <w:rsid w:val="000B6868"/>
    <w:rsid w:val="000C1275"/>
    <w:rsid w:val="000C12E2"/>
    <w:rsid w:val="000C1B52"/>
    <w:rsid w:val="000C1C05"/>
    <w:rsid w:val="000C1C76"/>
    <w:rsid w:val="000C1F50"/>
    <w:rsid w:val="000C25E1"/>
    <w:rsid w:val="000C3198"/>
    <w:rsid w:val="000C32BD"/>
    <w:rsid w:val="000C33E0"/>
    <w:rsid w:val="000C3F42"/>
    <w:rsid w:val="000C4F60"/>
    <w:rsid w:val="000C5003"/>
    <w:rsid w:val="000C5435"/>
    <w:rsid w:val="000C6906"/>
    <w:rsid w:val="000C6D37"/>
    <w:rsid w:val="000C7C70"/>
    <w:rsid w:val="000D051B"/>
    <w:rsid w:val="000D0595"/>
    <w:rsid w:val="000D0A29"/>
    <w:rsid w:val="000D0F14"/>
    <w:rsid w:val="000D1127"/>
    <w:rsid w:val="000D14EB"/>
    <w:rsid w:val="000D2449"/>
    <w:rsid w:val="000D34EF"/>
    <w:rsid w:val="000D3759"/>
    <w:rsid w:val="000D3DCB"/>
    <w:rsid w:val="000D4889"/>
    <w:rsid w:val="000D54FA"/>
    <w:rsid w:val="000D5FE6"/>
    <w:rsid w:val="000D6509"/>
    <w:rsid w:val="000D785F"/>
    <w:rsid w:val="000D7B1C"/>
    <w:rsid w:val="000D7B60"/>
    <w:rsid w:val="000E0F9F"/>
    <w:rsid w:val="000E124B"/>
    <w:rsid w:val="000E134E"/>
    <w:rsid w:val="000E3E96"/>
    <w:rsid w:val="000E5BB1"/>
    <w:rsid w:val="000E64F5"/>
    <w:rsid w:val="000F0E39"/>
    <w:rsid w:val="000F102B"/>
    <w:rsid w:val="000F11D0"/>
    <w:rsid w:val="000F1505"/>
    <w:rsid w:val="000F1560"/>
    <w:rsid w:val="000F24AE"/>
    <w:rsid w:val="000F4770"/>
    <w:rsid w:val="000F4F04"/>
    <w:rsid w:val="000F5B6F"/>
    <w:rsid w:val="000F6F1B"/>
    <w:rsid w:val="00100D8A"/>
    <w:rsid w:val="00101310"/>
    <w:rsid w:val="0010295F"/>
    <w:rsid w:val="00102FDD"/>
    <w:rsid w:val="001036CC"/>
    <w:rsid w:val="00104B49"/>
    <w:rsid w:val="001055CE"/>
    <w:rsid w:val="00106F4A"/>
    <w:rsid w:val="001070E5"/>
    <w:rsid w:val="001072B4"/>
    <w:rsid w:val="00111498"/>
    <w:rsid w:val="0011179A"/>
    <w:rsid w:val="001129BA"/>
    <w:rsid w:val="00113CA7"/>
    <w:rsid w:val="00114B4C"/>
    <w:rsid w:val="00114C36"/>
    <w:rsid w:val="00114C42"/>
    <w:rsid w:val="001169B9"/>
    <w:rsid w:val="00117908"/>
    <w:rsid w:val="00121DD9"/>
    <w:rsid w:val="00122143"/>
    <w:rsid w:val="0012261F"/>
    <w:rsid w:val="00123338"/>
    <w:rsid w:val="00123749"/>
    <w:rsid w:val="00124A12"/>
    <w:rsid w:val="00125A36"/>
    <w:rsid w:val="00126416"/>
    <w:rsid w:val="001268F1"/>
    <w:rsid w:val="00126B87"/>
    <w:rsid w:val="00126F70"/>
    <w:rsid w:val="0013074D"/>
    <w:rsid w:val="00130DBE"/>
    <w:rsid w:val="00130DEF"/>
    <w:rsid w:val="00133E99"/>
    <w:rsid w:val="0013520D"/>
    <w:rsid w:val="00136CEF"/>
    <w:rsid w:val="00137231"/>
    <w:rsid w:val="00137702"/>
    <w:rsid w:val="00137966"/>
    <w:rsid w:val="00140956"/>
    <w:rsid w:val="00140CC3"/>
    <w:rsid w:val="001428A7"/>
    <w:rsid w:val="00142D66"/>
    <w:rsid w:val="00143588"/>
    <w:rsid w:val="00143FC3"/>
    <w:rsid w:val="0014571C"/>
    <w:rsid w:val="00145827"/>
    <w:rsid w:val="001465EE"/>
    <w:rsid w:val="00147373"/>
    <w:rsid w:val="00150509"/>
    <w:rsid w:val="00150A8D"/>
    <w:rsid w:val="00151B66"/>
    <w:rsid w:val="001523EB"/>
    <w:rsid w:val="00152591"/>
    <w:rsid w:val="001528B1"/>
    <w:rsid w:val="00152A74"/>
    <w:rsid w:val="001547F2"/>
    <w:rsid w:val="0015524E"/>
    <w:rsid w:val="00155389"/>
    <w:rsid w:val="00155411"/>
    <w:rsid w:val="001570B8"/>
    <w:rsid w:val="00160B79"/>
    <w:rsid w:val="00161201"/>
    <w:rsid w:val="001613C8"/>
    <w:rsid w:val="001614E5"/>
    <w:rsid w:val="00162016"/>
    <w:rsid w:val="00162C81"/>
    <w:rsid w:val="00162DA9"/>
    <w:rsid w:val="001636C2"/>
    <w:rsid w:val="001640C3"/>
    <w:rsid w:val="001646E2"/>
    <w:rsid w:val="001658CC"/>
    <w:rsid w:val="001665F1"/>
    <w:rsid w:val="00166EB0"/>
    <w:rsid w:val="0017006D"/>
    <w:rsid w:val="00170177"/>
    <w:rsid w:val="00171491"/>
    <w:rsid w:val="001734A1"/>
    <w:rsid w:val="001737DD"/>
    <w:rsid w:val="0017447F"/>
    <w:rsid w:val="00176650"/>
    <w:rsid w:val="001769C7"/>
    <w:rsid w:val="00176E42"/>
    <w:rsid w:val="00177C32"/>
    <w:rsid w:val="001817B4"/>
    <w:rsid w:val="0018261F"/>
    <w:rsid w:val="0018287A"/>
    <w:rsid w:val="00182CBC"/>
    <w:rsid w:val="001830D8"/>
    <w:rsid w:val="00184114"/>
    <w:rsid w:val="00184E3F"/>
    <w:rsid w:val="001856BE"/>
    <w:rsid w:val="001858DB"/>
    <w:rsid w:val="00185BB9"/>
    <w:rsid w:val="00185EE4"/>
    <w:rsid w:val="00186239"/>
    <w:rsid w:val="00187A2D"/>
    <w:rsid w:val="00187C51"/>
    <w:rsid w:val="001906D9"/>
    <w:rsid w:val="00190A09"/>
    <w:rsid w:val="00190DC8"/>
    <w:rsid w:val="00191239"/>
    <w:rsid w:val="00191603"/>
    <w:rsid w:val="00192BF8"/>
    <w:rsid w:val="00192FFC"/>
    <w:rsid w:val="00193005"/>
    <w:rsid w:val="00193D55"/>
    <w:rsid w:val="001941A3"/>
    <w:rsid w:val="0019511C"/>
    <w:rsid w:val="001978D9"/>
    <w:rsid w:val="001A1B68"/>
    <w:rsid w:val="001A2DF3"/>
    <w:rsid w:val="001A409E"/>
    <w:rsid w:val="001A4236"/>
    <w:rsid w:val="001A6258"/>
    <w:rsid w:val="001B2382"/>
    <w:rsid w:val="001B2B87"/>
    <w:rsid w:val="001B67B4"/>
    <w:rsid w:val="001B6B86"/>
    <w:rsid w:val="001B709E"/>
    <w:rsid w:val="001B7208"/>
    <w:rsid w:val="001B75CF"/>
    <w:rsid w:val="001B7B4C"/>
    <w:rsid w:val="001C0B29"/>
    <w:rsid w:val="001C12B2"/>
    <w:rsid w:val="001C275F"/>
    <w:rsid w:val="001C4985"/>
    <w:rsid w:val="001C604F"/>
    <w:rsid w:val="001C6352"/>
    <w:rsid w:val="001C7666"/>
    <w:rsid w:val="001D0C0A"/>
    <w:rsid w:val="001D0E9A"/>
    <w:rsid w:val="001D28CE"/>
    <w:rsid w:val="001D3DDE"/>
    <w:rsid w:val="001D7A7C"/>
    <w:rsid w:val="001D7C48"/>
    <w:rsid w:val="001E042C"/>
    <w:rsid w:val="001E2E8F"/>
    <w:rsid w:val="001E38D2"/>
    <w:rsid w:val="001E4038"/>
    <w:rsid w:val="001E4110"/>
    <w:rsid w:val="001E50CF"/>
    <w:rsid w:val="001F03FD"/>
    <w:rsid w:val="001F1A38"/>
    <w:rsid w:val="001F1B86"/>
    <w:rsid w:val="001F2A80"/>
    <w:rsid w:val="001F2DC1"/>
    <w:rsid w:val="001F33EA"/>
    <w:rsid w:val="001F3CCE"/>
    <w:rsid w:val="001F4AA7"/>
    <w:rsid w:val="001F5B9D"/>
    <w:rsid w:val="001F617E"/>
    <w:rsid w:val="001F6234"/>
    <w:rsid w:val="001F6C02"/>
    <w:rsid w:val="001F6CA9"/>
    <w:rsid w:val="001F7272"/>
    <w:rsid w:val="001F785E"/>
    <w:rsid w:val="0020099A"/>
    <w:rsid w:val="00201491"/>
    <w:rsid w:val="002031C9"/>
    <w:rsid w:val="00203217"/>
    <w:rsid w:val="00204557"/>
    <w:rsid w:val="002064A0"/>
    <w:rsid w:val="00206AD9"/>
    <w:rsid w:val="002072F8"/>
    <w:rsid w:val="00207BFC"/>
    <w:rsid w:val="00210458"/>
    <w:rsid w:val="002108F4"/>
    <w:rsid w:val="00210E9F"/>
    <w:rsid w:val="002119AB"/>
    <w:rsid w:val="002122C3"/>
    <w:rsid w:val="002124DB"/>
    <w:rsid w:val="002128C4"/>
    <w:rsid w:val="002131D1"/>
    <w:rsid w:val="00214611"/>
    <w:rsid w:val="00214E4D"/>
    <w:rsid w:val="0021522E"/>
    <w:rsid w:val="0021634B"/>
    <w:rsid w:val="0022008A"/>
    <w:rsid w:val="00220412"/>
    <w:rsid w:val="00221982"/>
    <w:rsid w:val="00221EB8"/>
    <w:rsid w:val="00222424"/>
    <w:rsid w:val="00222D4C"/>
    <w:rsid w:val="00222F0C"/>
    <w:rsid w:val="00223D84"/>
    <w:rsid w:val="00226AD2"/>
    <w:rsid w:val="00230454"/>
    <w:rsid w:val="002306DE"/>
    <w:rsid w:val="0023135E"/>
    <w:rsid w:val="0023228D"/>
    <w:rsid w:val="00233166"/>
    <w:rsid w:val="002334FE"/>
    <w:rsid w:val="0023478F"/>
    <w:rsid w:val="00236B76"/>
    <w:rsid w:val="00237B5F"/>
    <w:rsid w:val="0024000A"/>
    <w:rsid w:val="00240C58"/>
    <w:rsid w:val="00241255"/>
    <w:rsid w:val="00241599"/>
    <w:rsid w:val="0024317C"/>
    <w:rsid w:val="0024355E"/>
    <w:rsid w:val="002437D9"/>
    <w:rsid w:val="0024396E"/>
    <w:rsid w:val="002456E7"/>
    <w:rsid w:val="00245E9F"/>
    <w:rsid w:val="00246940"/>
    <w:rsid w:val="00246B93"/>
    <w:rsid w:val="00246F39"/>
    <w:rsid w:val="00247241"/>
    <w:rsid w:val="00250240"/>
    <w:rsid w:val="00250B65"/>
    <w:rsid w:val="00250D42"/>
    <w:rsid w:val="00251567"/>
    <w:rsid w:val="0025250F"/>
    <w:rsid w:val="00252805"/>
    <w:rsid w:val="00252C33"/>
    <w:rsid w:val="002536B5"/>
    <w:rsid w:val="00253964"/>
    <w:rsid w:val="00254B5D"/>
    <w:rsid w:val="002556A8"/>
    <w:rsid w:val="00256C01"/>
    <w:rsid w:val="00257198"/>
    <w:rsid w:val="0026096D"/>
    <w:rsid w:val="00260A3A"/>
    <w:rsid w:val="002612ED"/>
    <w:rsid w:val="00261B6B"/>
    <w:rsid w:val="0026241A"/>
    <w:rsid w:val="002634C4"/>
    <w:rsid w:val="00264896"/>
    <w:rsid w:val="0026558F"/>
    <w:rsid w:val="002670F1"/>
    <w:rsid w:val="002712B6"/>
    <w:rsid w:val="00271678"/>
    <w:rsid w:val="00271700"/>
    <w:rsid w:val="002723A2"/>
    <w:rsid w:val="00273691"/>
    <w:rsid w:val="00276AF2"/>
    <w:rsid w:val="00276C82"/>
    <w:rsid w:val="00277227"/>
    <w:rsid w:val="002774BF"/>
    <w:rsid w:val="00277DAC"/>
    <w:rsid w:val="00281E1D"/>
    <w:rsid w:val="002822CC"/>
    <w:rsid w:val="0028377A"/>
    <w:rsid w:val="00287A54"/>
    <w:rsid w:val="00287D97"/>
    <w:rsid w:val="002912A1"/>
    <w:rsid w:val="00291B11"/>
    <w:rsid w:val="00292056"/>
    <w:rsid w:val="002927BC"/>
    <w:rsid w:val="00294622"/>
    <w:rsid w:val="002947E4"/>
    <w:rsid w:val="00294CDB"/>
    <w:rsid w:val="00295209"/>
    <w:rsid w:val="0029532C"/>
    <w:rsid w:val="00295E34"/>
    <w:rsid w:val="002A123A"/>
    <w:rsid w:val="002A13CF"/>
    <w:rsid w:val="002A170E"/>
    <w:rsid w:val="002A27C0"/>
    <w:rsid w:val="002A301F"/>
    <w:rsid w:val="002A4936"/>
    <w:rsid w:val="002A4994"/>
    <w:rsid w:val="002A60D7"/>
    <w:rsid w:val="002A6453"/>
    <w:rsid w:val="002A7EB4"/>
    <w:rsid w:val="002B0620"/>
    <w:rsid w:val="002B08B1"/>
    <w:rsid w:val="002B1F7C"/>
    <w:rsid w:val="002B36CD"/>
    <w:rsid w:val="002B3EBB"/>
    <w:rsid w:val="002B5AD5"/>
    <w:rsid w:val="002B5B44"/>
    <w:rsid w:val="002B5D92"/>
    <w:rsid w:val="002B6A61"/>
    <w:rsid w:val="002B6B6F"/>
    <w:rsid w:val="002B723F"/>
    <w:rsid w:val="002B7674"/>
    <w:rsid w:val="002B78F4"/>
    <w:rsid w:val="002C0AE7"/>
    <w:rsid w:val="002C1BBD"/>
    <w:rsid w:val="002C1C94"/>
    <w:rsid w:val="002C2153"/>
    <w:rsid w:val="002C3567"/>
    <w:rsid w:val="002C3F04"/>
    <w:rsid w:val="002C4451"/>
    <w:rsid w:val="002C47A2"/>
    <w:rsid w:val="002C5064"/>
    <w:rsid w:val="002C50DE"/>
    <w:rsid w:val="002C537A"/>
    <w:rsid w:val="002C5948"/>
    <w:rsid w:val="002C6758"/>
    <w:rsid w:val="002C7AAB"/>
    <w:rsid w:val="002D0BDE"/>
    <w:rsid w:val="002D1046"/>
    <w:rsid w:val="002D14BE"/>
    <w:rsid w:val="002D157C"/>
    <w:rsid w:val="002D198D"/>
    <w:rsid w:val="002D25A9"/>
    <w:rsid w:val="002D2D5F"/>
    <w:rsid w:val="002D3758"/>
    <w:rsid w:val="002D3FAA"/>
    <w:rsid w:val="002D5A49"/>
    <w:rsid w:val="002D6028"/>
    <w:rsid w:val="002D638A"/>
    <w:rsid w:val="002D644E"/>
    <w:rsid w:val="002D7E14"/>
    <w:rsid w:val="002E05A5"/>
    <w:rsid w:val="002E1736"/>
    <w:rsid w:val="002E1FBF"/>
    <w:rsid w:val="002E355A"/>
    <w:rsid w:val="002E4350"/>
    <w:rsid w:val="002E4773"/>
    <w:rsid w:val="002E5541"/>
    <w:rsid w:val="002E5FC6"/>
    <w:rsid w:val="002E6FF9"/>
    <w:rsid w:val="002F182A"/>
    <w:rsid w:val="002F1C0D"/>
    <w:rsid w:val="002F254F"/>
    <w:rsid w:val="002F4089"/>
    <w:rsid w:val="002F410A"/>
    <w:rsid w:val="002F4146"/>
    <w:rsid w:val="002F420E"/>
    <w:rsid w:val="002F51F0"/>
    <w:rsid w:val="002F5866"/>
    <w:rsid w:val="00302585"/>
    <w:rsid w:val="00303E3E"/>
    <w:rsid w:val="00304331"/>
    <w:rsid w:val="0030474C"/>
    <w:rsid w:val="003053F8"/>
    <w:rsid w:val="00305D4D"/>
    <w:rsid w:val="00306031"/>
    <w:rsid w:val="003070A9"/>
    <w:rsid w:val="00307106"/>
    <w:rsid w:val="003079A2"/>
    <w:rsid w:val="00310819"/>
    <w:rsid w:val="00310839"/>
    <w:rsid w:val="003111E6"/>
    <w:rsid w:val="0031228B"/>
    <w:rsid w:val="00313829"/>
    <w:rsid w:val="003145A9"/>
    <w:rsid w:val="0032015A"/>
    <w:rsid w:val="00320544"/>
    <w:rsid w:val="0032103F"/>
    <w:rsid w:val="003224F1"/>
    <w:rsid w:val="003230EC"/>
    <w:rsid w:val="003238CC"/>
    <w:rsid w:val="00323CFF"/>
    <w:rsid w:val="00324E65"/>
    <w:rsid w:val="003262A8"/>
    <w:rsid w:val="0032659F"/>
    <w:rsid w:val="003269D8"/>
    <w:rsid w:val="00327275"/>
    <w:rsid w:val="00327D86"/>
    <w:rsid w:val="0033014E"/>
    <w:rsid w:val="0033113B"/>
    <w:rsid w:val="0033180F"/>
    <w:rsid w:val="00331B45"/>
    <w:rsid w:val="003325ED"/>
    <w:rsid w:val="003327B2"/>
    <w:rsid w:val="003338FA"/>
    <w:rsid w:val="00333A32"/>
    <w:rsid w:val="00334E48"/>
    <w:rsid w:val="0033569C"/>
    <w:rsid w:val="00335F69"/>
    <w:rsid w:val="00336841"/>
    <w:rsid w:val="0034032C"/>
    <w:rsid w:val="003411E8"/>
    <w:rsid w:val="00341CBC"/>
    <w:rsid w:val="00343325"/>
    <w:rsid w:val="00345426"/>
    <w:rsid w:val="00345DA2"/>
    <w:rsid w:val="0034620F"/>
    <w:rsid w:val="00346216"/>
    <w:rsid w:val="0034683D"/>
    <w:rsid w:val="003469BE"/>
    <w:rsid w:val="00350B31"/>
    <w:rsid w:val="00352400"/>
    <w:rsid w:val="003535BF"/>
    <w:rsid w:val="0035363A"/>
    <w:rsid w:val="00353CBA"/>
    <w:rsid w:val="003558FE"/>
    <w:rsid w:val="00355FA0"/>
    <w:rsid w:val="003564DC"/>
    <w:rsid w:val="0035776E"/>
    <w:rsid w:val="0035795D"/>
    <w:rsid w:val="00361D30"/>
    <w:rsid w:val="00361F8E"/>
    <w:rsid w:val="003622D8"/>
    <w:rsid w:val="00362A11"/>
    <w:rsid w:val="0036373C"/>
    <w:rsid w:val="00364478"/>
    <w:rsid w:val="0036599A"/>
    <w:rsid w:val="00365B5C"/>
    <w:rsid w:val="00365B74"/>
    <w:rsid w:val="00371111"/>
    <w:rsid w:val="00371E9E"/>
    <w:rsid w:val="0037353F"/>
    <w:rsid w:val="00373865"/>
    <w:rsid w:val="00373889"/>
    <w:rsid w:val="00373B5F"/>
    <w:rsid w:val="00373D17"/>
    <w:rsid w:val="00375419"/>
    <w:rsid w:val="00375544"/>
    <w:rsid w:val="00375809"/>
    <w:rsid w:val="00375853"/>
    <w:rsid w:val="00381499"/>
    <w:rsid w:val="00381AA1"/>
    <w:rsid w:val="003825D1"/>
    <w:rsid w:val="00382614"/>
    <w:rsid w:val="003847DD"/>
    <w:rsid w:val="00384890"/>
    <w:rsid w:val="0038514A"/>
    <w:rsid w:val="00386B13"/>
    <w:rsid w:val="00387649"/>
    <w:rsid w:val="00390D56"/>
    <w:rsid w:val="00391311"/>
    <w:rsid w:val="00391C5E"/>
    <w:rsid w:val="00392528"/>
    <w:rsid w:val="00392B8E"/>
    <w:rsid w:val="003931B0"/>
    <w:rsid w:val="00393539"/>
    <w:rsid w:val="0039462E"/>
    <w:rsid w:val="00396555"/>
    <w:rsid w:val="00397D4A"/>
    <w:rsid w:val="003A0107"/>
    <w:rsid w:val="003A0D8C"/>
    <w:rsid w:val="003A1B9E"/>
    <w:rsid w:val="003A3266"/>
    <w:rsid w:val="003A3AC5"/>
    <w:rsid w:val="003A3B13"/>
    <w:rsid w:val="003A4452"/>
    <w:rsid w:val="003A448F"/>
    <w:rsid w:val="003A4ABD"/>
    <w:rsid w:val="003A59B4"/>
    <w:rsid w:val="003B045F"/>
    <w:rsid w:val="003B0F29"/>
    <w:rsid w:val="003B2339"/>
    <w:rsid w:val="003B24D6"/>
    <w:rsid w:val="003B32B7"/>
    <w:rsid w:val="003B57A9"/>
    <w:rsid w:val="003B5969"/>
    <w:rsid w:val="003B679E"/>
    <w:rsid w:val="003B6A4A"/>
    <w:rsid w:val="003B70A3"/>
    <w:rsid w:val="003B70CD"/>
    <w:rsid w:val="003C098C"/>
    <w:rsid w:val="003C15FC"/>
    <w:rsid w:val="003C1E2B"/>
    <w:rsid w:val="003C3236"/>
    <w:rsid w:val="003C33AB"/>
    <w:rsid w:val="003C39DB"/>
    <w:rsid w:val="003C3EDE"/>
    <w:rsid w:val="003C4054"/>
    <w:rsid w:val="003C4F76"/>
    <w:rsid w:val="003C6117"/>
    <w:rsid w:val="003C675C"/>
    <w:rsid w:val="003C71E3"/>
    <w:rsid w:val="003D0202"/>
    <w:rsid w:val="003D0A61"/>
    <w:rsid w:val="003D0B67"/>
    <w:rsid w:val="003D187A"/>
    <w:rsid w:val="003D3906"/>
    <w:rsid w:val="003D450C"/>
    <w:rsid w:val="003D4D13"/>
    <w:rsid w:val="003D4FB2"/>
    <w:rsid w:val="003D527F"/>
    <w:rsid w:val="003D52F1"/>
    <w:rsid w:val="003D6A95"/>
    <w:rsid w:val="003D703C"/>
    <w:rsid w:val="003D7317"/>
    <w:rsid w:val="003D76FD"/>
    <w:rsid w:val="003D7C1F"/>
    <w:rsid w:val="003D7F25"/>
    <w:rsid w:val="003E0877"/>
    <w:rsid w:val="003E0A80"/>
    <w:rsid w:val="003E13B3"/>
    <w:rsid w:val="003E25A6"/>
    <w:rsid w:val="003E2D4F"/>
    <w:rsid w:val="003E3B17"/>
    <w:rsid w:val="003E3DB4"/>
    <w:rsid w:val="003E4485"/>
    <w:rsid w:val="003E4C95"/>
    <w:rsid w:val="003E5581"/>
    <w:rsid w:val="003E58E2"/>
    <w:rsid w:val="003E69EC"/>
    <w:rsid w:val="003E6B57"/>
    <w:rsid w:val="003E7106"/>
    <w:rsid w:val="003F051B"/>
    <w:rsid w:val="003F1494"/>
    <w:rsid w:val="003F15A8"/>
    <w:rsid w:val="003F1A5D"/>
    <w:rsid w:val="003F362E"/>
    <w:rsid w:val="003F3E54"/>
    <w:rsid w:val="003F4219"/>
    <w:rsid w:val="003F45D4"/>
    <w:rsid w:val="003F59B4"/>
    <w:rsid w:val="003F615F"/>
    <w:rsid w:val="00400136"/>
    <w:rsid w:val="004007C3"/>
    <w:rsid w:val="004014F4"/>
    <w:rsid w:val="00401577"/>
    <w:rsid w:val="00402DCC"/>
    <w:rsid w:val="004035EC"/>
    <w:rsid w:val="00403869"/>
    <w:rsid w:val="00404B7E"/>
    <w:rsid w:val="00405160"/>
    <w:rsid w:val="00406501"/>
    <w:rsid w:val="004074AF"/>
    <w:rsid w:val="00407E72"/>
    <w:rsid w:val="0041076C"/>
    <w:rsid w:val="00410AF3"/>
    <w:rsid w:val="00411127"/>
    <w:rsid w:val="004132C1"/>
    <w:rsid w:val="00413A86"/>
    <w:rsid w:val="0041422A"/>
    <w:rsid w:val="004162CD"/>
    <w:rsid w:val="004171A8"/>
    <w:rsid w:val="00420AC9"/>
    <w:rsid w:val="0042100E"/>
    <w:rsid w:val="00421269"/>
    <w:rsid w:val="00423212"/>
    <w:rsid w:val="00423F59"/>
    <w:rsid w:val="00424FA6"/>
    <w:rsid w:val="004251D3"/>
    <w:rsid w:val="00426389"/>
    <w:rsid w:val="00426D88"/>
    <w:rsid w:val="0043040A"/>
    <w:rsid w:val="00430457"/>
    <w:rsid w:val="00430511"/>
    <w:rsid w:val="00430D6C"/>
    <w:rsid w:val="00431BF2"/>
    <w:rsid w:val="00431EC1"/>
    <w:rsid w:val="00432D38"/>
    <w:rsid w:val="00435945"/>
    <w:rsid w:val="004364D2"/>
    <w:rsid w:val="00436D3E"/>
    <w:rsid w:val="00440C37"/>
    <w:rsid w:val="00440E70"/>
    <w:rsid w:val="004417B4"/>
    <w:rsid w:val="00441875"/>
    <w:rsid w:val="00441C79"/>
    <w:rsid w:val="00442BA1"/>
    <w:rsid w:val="004452A7"/>
    <w:rsid w:val="004452FB"/>
    <w:rsid w:val="004454BD"/>
    <w:rsid w:val="004455D1"/>
    <w:rsid w:val="004468A1"/>
    <w:rsid w:val="00446EF9"/>
    <w:rsid w:val="004471F0"/>
    <w:rsid w:val="004476E9"/>
    <w:rsid w:val="00447C69"/>
    <w:rsid w:val="00447C78"/>
    <w:rsid w:val="004502B3"/>
    <w:rsid w:val="004503C0"/>
    <w:rsid w:val="00451318"/>
    <w:rsid w:val="004513B8"/>
    <w:rsid w:val="004526C1"/>
    <w:rsid w:val="00452FFF"/>
    <w:rsid w:val="0045457E"/>
    <w:rsid w:val="00455002"/>
    <w:rsid w:val="00457DAE"/>
    <w:rsid w:val="00457FCE"/>
    <w:rsid w:val="00461195"/>
    <w:rsid w:val="00461C5D"/>
    <w:rsid w:val="004620F7"/>
    <w:rsid w:val="0046252E"/>
    <w:rsid w:val="00462C20"/>
    <w:rsid w:val="004637B1"/>
    <w:rsid w:val="004651A1"/>
    <w:rsid w:val="00465482"/>
    <w:rsid w:val="004659D5"/>
    <w:rsid w:val="00465FC0"/>
    <w:rsid w:val="00466F4D"/>
    <w:rsid w:val="00467151"/>
    <w:rsid w:val="004677BD"/>
    <w:rsid w:val="0047025B"/>
    <w:rsid w:val="00470777"/>
    <w:rsid w:val="004714CD"/>
    <w:rsid w:val="004726AA"/>
    <w:rsid w:val="00473E21"/>
    <w:rsid w:val="00473F9D"/>
    <w:rsid w:val="004741AB"/>
    <w:rsid w:val="004748E5"/>
    <w:rsid w:val="00474B83"/>
    <w:rsid w:val="00474F06"/>
    <w:rsid w:val="00475C85"/>
    <w:rsid w:val="0047741D"/>
    <w:rsid w:val="00477588"/>
    <w:rsid w:val="00477658"/>
    <w:rsid w:val="004815AB"/>
    <w:rsid w:val="004815ED"/>
    <w:rsid w:val="00481FD8"/>
    <w:rsid w:val="0048240A"/>
    <w:rsid w:val="00482668"/>
    <w:rsid w:val="00483568"/>
    <w:rsid w:val="0048401D"/>
    <w:rsid w:val="004841BA"/>
    <w:rsid w:val="00484773"/>
    <w:rsid w:val="004848FD"/>
    <w:rsid w:val="004854F9"/>
    <w:rsid w:val="00485C33"/>
    <w:rsid w:val="004866F8"/>
    <w:rsid w:val="0048685D"/>
    <w:rsid w:val="00486C4E"/>
    <w:rsid w:val="00486FC2"/>
    <w:rsid w:val="00487622"/>
    <w:rsid w:val="00487AEC"/>
    <w:rsid w:val="004907FF"/>
    <w:rsid w:val="004911F7"/>
    <w:rsid w:val="004917D0"/>
    <w:rsid w:val="00491C6E"/>
    <w:rsid w:val="00492659"/>
    <w:rsid w:val="00495FAF"/>
    <w:rsid w:val="004967AC"/>
    <w:rsid w:val="004A2301"/>
    <w:rsid w:val="004A2B14"/>
    <w:rsid w:val="004A2CA3"/>
    <w:rsid w:val="004A425E"/>
    <w:rsid w:val="004A4C60"/>
    <w:rsid w:val="004A53A5"/>
    <w:rsid w:val="004A5852"/>
    <w:rsid w:val="004A7FAF"/>
    <w:rsid w:val="004B00B0"/>
    <w:rsid w:val="004B051B"/>
    <w:rsid w:val="004B18D3"/>
    <w:rsid w:val="004B1A0E"/>
    <w:rsid w:val="004B3158"/>
    <w:rsid w:val="004B3AFC"/>
    <w:rsid w:val="004B521D"/>
    <w:rsid w:val="004B55D8"/>
    <w:rsid w:val="004B646D"/>
    <w:rsid w:val="004B732D"/>
    <w:rsid w:val="004B79B6"/>
    <w:rsid w:val="004B7B0F"/>
    <w:rsid w:val="004B7FB2"/>
    <w:rsid w:val="004C0A3D"/>
    <w:rsid w:val="004C13BC"/>
    <w:rsid w:val="004C173D"/>
    <w:rsid w:val="004C1C8A"/>
    <w:rsid w:val="004C5651"/>
    <w:rsid w:val="004C5E42"/>
    <w:rsid w:val="004C6198"/>
    <w:rsid w:val="004C7164"/>
    <w:rsid w:val="004C7BE0"/>
    <w:rsid w:val="004D0DE8"/>
    <w:rsid w:val="004D1D5B"/>
    <w:rsid w:val="004D2214"/>
    <w:rsid w:val="004D3D3D"/>
    <w:rsid w:val="004D4012"/>
    <w:rsid w:val="004D5167"/>
    <w:rsid w:val="004D5F92"/>
    <w:rsid w:val="004D68AA"/>
    <w:rsid w:val="004D7B61"/>
    <w:rsid w:val="004E27C6"/>
    <w:rsid w:val="004E28BB"/>
    <w:rsid w:val="004E2BF4"/>
    <w:rsid w:val="004E3376"/>
    <w:rsid w:val="004E33BF"/>
    <w:rsid w:val="004E3DB8"/>
    <w:rsid w:val="004E616F"/>
    <w:rsid w:val="004E6B4B"/>
    <w:rsid w:val="004E6C9F"/>
    <w:rsid w:val="004E700E"/>
    <w:rsid w:val="004E78A3"/>
    <w:rsid w:val="004E7BB3"/>
    <w:rsid w:val="004F136C"/>
    <w:rsid w:val="004F1816"/>
    <w:rsid w:val="004F18EC"/>
    <w:rsid w:val="004F2B63"/>
    <w:rsid w:val="004F2CB8"/>
    <w:rsid w:val="004F2DCC"/>
    <w:rsid w:val="004F2E2B"/>
    <w:rsid w:val="004F3B5A"/>
    <w:rsid w:val="004F4B59"/>
    <w:rsid w:val="004F5608"/>
    <w:rsid w:val="004F6215"/>
    <w:rsid w:val="004F62AD"/>
    <w:rsid w:val="004F6B49"/>
    <w:rsid w:val="004F6BA7"/>
    <w:rsid w:val="004F7AAA"/>
    <w:rsid w:val="004F7FFB"/>
    <w:rsid w:val="00500380"/>
    <w:rsid w:val="00500E11"/>
    <w:rsid w:val="00500F06"/>
    <w:rsid w:val="0050130E"/>
    <w:rsid w:val="005017BA"/>
    <w:rsid w:val="00501E33"/>
    <w:rsid w:val="00503481"/>
    <w:rsid w:val="005035E8"/>
    <w:rsid w:val="0050371E"/>
    <w:rsid w:val="0050409C"/>
    <w:rsid w:val="0050454C"/>
    <w:rsid w:val="005067D6"/>
    <w:rsid w:val="00506CEB"/>
    <w:rsid w:val="005074CF"/>
    <w:rsid w:val="00507FD0"/>
    <w:rsid w:val="00510225"/>
    <w:rsid w:val="00510666"/>
    <w:rsid w:val="00510E89"/>
    <w:rsid w:val="00511132"/>
    <w:rsid w:val="0051247F"/>
    <w:rsid w:val="005124B9"/>
    <w:rsid w:val="00512BB9"/>
    <w:rsid w:val="00512BD0"/>
    <w:rsid w:val="00513DD7"/>
    <w:rsid w:val="0051400B"/>
    <w:rsid w:val="00514E77"/>
    <w:rsid w:val="00516970"/>
    <w:rsid w:val="005170CF"/>
    <w:rsid w:val="005173F6"/>
    <w:rsid w:val="00517775"/>
    <w:rsid w:val="00517F0C"/>
    <w:rsid w:val="00520154"/>
    <w:rsid w:val="00520584"/>
    <w:rsid w:val="00520D47"/>
    <w:rsid w:val="00520F31"/>
    <w:rsid w:val="00521A8D"/>
    <w:rsid w:val="005220B5"/>
    <w:rsid w:val="005225D2"/>
    <w:rsid w:val="00522A78"/>
    <w:rsid w:val="00522C19"/>
    <w:rsid w:val="00522E61"/>
    <w:rsid w:val="005233AD"/>
    <w:rsid w:val="00524364"/>
    <w:rsid w:val="00524F02"/>
    <w:rsid w:val="005263CE"/>
    <w:rsid w:val="0052664F"/>
    <w:rsid w:val="005304BC"/>
    <w:rsid w:val="00530D27"/>
    <w:rsid w:val="00532482"/>
    <w:rsid w:val="00532697"/>
    <w:rsid w:val="00532CDD"/>
    <w:rsid w:val="00534256"/>
    <w:rsid w:val="005342F6"/>
    <w:rsid w:val="005354A4"/>
    <w:rsid w:val="00535940"/>
    <w:rsid w:val="00535E4C"/>
    <w:rsid w:val="00536144"/>
    <w:rsid w:val="00536289"/>
    <w:rsid w:val="00537ADF"/>
    <w:rsid w:val="00537D5A"/>
    <w:rsid w:val="00537FCF"/>
    <w:rsid w:val="0054162A"/>
    <w:rsid w:val="00541CC4"/>
    <w:rsid w:val="00542532"/>
    <w:rsid w:val="00542E0D"/>
    <w:rsid w:val="00543F5B"/>
    <w:rsid w:val="0054518D"/>
    <w:rsid w:val="00546161"/>
    <w:rsid w:val="00546165"/>
    <w:rsid w:val="00546811"/>
    <w:rsid w:val="00546938"/>
    <w:rsid w:val="00546B67"/>
    <w:rsid w:val="00546E30"/>
    <w:rsid w:val="005470C2"/>
    <w:rsid w:val="005510E9"/>
    <w:rsid w:val="0055154B"/>
    <w:rsid w:val="00551589"/>
    <w:rsid w:val="00552D3D"/>
    <w:rsid w:val="00553377"/>
    <w:rsid w:val="00553741"/>
    <w:rsid w:val="00556AA1"/>
    <w:rsid w:val="00556C39"/>
    <w:rsid w:val="00556C3E"/>
    <w:rsid w:val="00557079"/>
    <w:rsid w:val="00557E06"/>
    <w:rsid w:val="00557FCC"/>
    <w:rsid w:val="00560EBC"/>
    <w:rsid w:val="005612B6"/>
    <w:rsid w:val="00562419"/>
    <w:rsid w:val="00562A6D"/>
    <w:rsid w:val="00562A71"/>
    <w:rsid w:val="00565D1F"/>
    <w:rsid w:val="00565FD6"/>
    <w:rsid w:val="0056729E"/>
    <w:rsid w:val="00570AF1"/>
    <w:rsid w:val="00570D6E"/>
    <w:rsid w:val="00571636"/>
    <w:rsid w:val="00573E64"/>
    <w:rsid w:val="00574F63"/>
    <w:rsid w:val="00575B5C"/>
    <w:rsid w:val="005770BF"/>
    <w:rsid w:val="005778D0"/>
    <w:rsid w:val="00577EA3"/>
    <w:rsid w:val="00581656"/>
    <w:rsid w:val="00581E2B"/>
    <w:rsid w:val="005820B5"/>
    <w:rsid w:val="0058228A"/>
    <w:rsid w:val="005833D0"/>
    <w:rsid w:val="00583EEB"/>
    <w:rsid w:val="005844A8"/>
    <w:rsid w:val="00584F97"/>
    <w:rsid w:val="005865B9"/>
    <w:rsid w:val="005871D9"/>
    <w:rsid w:val="00587F6C"/>
    <w:rsid w:val="0059184D"/>
    <w:rsid w:val="005921B6"/>
    <w:rsid w:val="00592278"/>
    <w:rsid w:val="005932A7"/>
    <w:rsid w:val="00594383"/>
    <w:rsid w:val="00594771"/>
    <w:rsid w:val="0059569A"/>
    <w:rsid w:val="00596128"/>
    <w:rsid w:val="00596582"/>
    <w:rsid w:val="00596D14"/>
    <w:rsid w:val="00596DAD"/>
    <w:rsid w:val="00597011"/>
    <w:rsid w:val="005A1539"/>
    <w:rsid w:val="005A15FC"/>
    <w:rsid w:val="005A3862"/>
    <w:rsid w:val="005A4199"/>
    <w:rsid w:val="005A6455"/>
    <w:rsid w:val="005A69F8"/>
    <w:rsid w:val="005B03F2"/>
    <w:rsid w:val="005B0F1E"/>
    <w:rsid w:val="005B14A5"/>
    <w:rsid w:val="005B202C"/>
    <w:rsid w:val="005B229B"/>
    <w:rsid w:val="005B4033"/>
    <w:rsid w:val="005B655B"/>
    <w:rsid w:val="005B6DA6"/>
    <w:rsid w:val="005B6DB1"/>
    <w:rsid w:val="005B7D1F"/>
    <w:rsid w:val="005C1488"/>
    <w:rsid w:val="005C1DE2"/>
    <w:rsid w:val="005C345A"/>
    <w:rsid w:val="005C3890"/>
    <w:rsid w:val="005C3B52"/>
    <w:rsid w:val="005C4648"/>
    <w:rsid w:val="005C4874"/>
    <w:rsid w:val="005C4C44"/>
    <w:rsid w:val="005C4D2E"/>
    <w:rsid w:val="005C5739"/>
    <w:rsid w:val="005C5C63"/>
    <w:rsid w:val="005C77F8"/>
    <w:rsid w:val="005C79F0"/>
    <w:rsid w:val="005D0128"/>
    <w:rsid w:val="005D0CFC"/>
    <w:rsid w:val="005D1493"/>
    <w:rsid w:val="005D2190"/>
    <w:rsid w:val="005D2DF1"/>
    <w:rsid w:val="005D486E"/>
    <w:rsid w:val="005D50E8"/>
    <w:rsid w:val="005D7178"/>
    <w:rsid w:val="005D73B9"/>
    <w:rsid w:val="005D75AB"/>
    <w:rsid w:val="005E0079"/>
    <w:rsid w:val="005E07FA"/>
    <w:rsid w:val="005E0917"/>
    <w:rsid w:val="005E2632"/>
    <w:rsid w:val="005E335C"/>
    <w:rsid w:val="005E3806"/>
    <w:rsid w:val="005E49E0"/>
    <w:rsid w:val="005E4CAE"/>
    <w:rsid w:val="005E5F2A"/>
    <w:rsid w:val="005F1601"/>
    <w:rsid w:val="005F2E36"/>
    <w:rsid w:val="005F2FC4"/>
    <w:rsid w:val="005F3F44"/>
    <w:rsid w:val="005F5FD2"/>
    <w:rsid w:val="005F74BC"/>
    <w:rsid w:val="00601ED5"/>
    <w:rsid w:val="00603D8A"/>
    <w:rsid w:val="00604F84"/>
    <w:rsid w:val="00605F73"/>
    <w:rsid w:val="00606EBA"/>
    <w:rsid w:val="00611DD6"/>
    <w:rsid w:val="00612713"/>
    <w:rsid w:val="00612FBC"/>
    <w:rsid w:val="006135D1"/>
    <w:rsid w:val="00615483"/>
    <w:rsid w:val="006156DC"/>
    <w:rsid w:val="00617509"/>
    <w:rsid w:val="00617EB4"/>
    <w:rsid w:val="00620197"/>
    <w:rsid w:val="006209B5"/>
    <w:rsid w:val="00621201"/>
    <w:rsid w:val="0062235B"/>
    <w:rsid w:val="00626DCB"/>
    <w:rsid w:val="00627277"/>
    <w:rsid w:val="00630C18"/>
    <w:rsid w:val="00631E22"/>
    <w:rsid w:val="0063282B"/>
    <w:rsid w:val="00632BFB"/>
    <w:rsid w:val="00633700"/>
    <w:rsid w:val="006338CB"/>
    <w:rsid w:val="00634726"/>
    <w:rsid w:val="00637440"/>
    <w:rsid w:val="00637B0D"/>
    <w:rsid w:val="00640495"/>
    <w:rsid w:val="00640497"/>
    <w:rsid w:val="006415E0"/>
    <w:rsid w:val="00643AB8"/>
    <w:rsid w:val="00643D1C"/>
    <w:rsid w:val="0065044A"/>
    <w:rsid w:val="0065175C"/>
    <w:rsid w:val="00651D51"/>
    <w:rsid w:val="0065216A"/>
    <w:rsid w:val="00652B50"/>
    <w:rsid w:val="00653D2C"/>
    <w:rsid w:val="00653F19"/>
    <w:rsid w:val="0065461B"/>
    <w:rsid w:val="00654E9D"/>
    <w:rsid w:val="00655216"/>
    <w:rsid w:val="00655324"/>
    <w:rsid w:val="0065639F"/>
    <w:rsid w:val="006571D4"/>
    <w:rsid w:val="006571FD"/>
    <w:rsid w:val="00660C0F"/>
    <w:rsid w:val="0066139C"/>
    <w:rsid w:val="00662794"/>
    <w:rsid w:val="00662C78"/>
    <w:rsid w:val="00663BD6"/>
    <w:rsid w:val="00663CC1"/>
    <w:rsid w:val="006649E7"/>
    <w:rsid w:val="00664DEE"/>
    <w:rsid w:val="00664F08"/>
    <w:rsid w:val="006654CA"/>
    <w:rsid w:val="006659E2"/>
    <w:rsid w:val="00665FAC"/>
    <w:rsid w:val="006662D7"/>
    <w:rsid w:val="00666B15"/>
    <w:rsid w:val="00666E37"/>
    <w:rsid w:val="006705DB"/>
    <w:rsid w:val="00670682"/>
    <w:rsid w:val="0067096A"/>
    <w:rsid w:val="00670BCD"/>
    <w:rsid w:val="00671BB0"/>
    <w:rsid w:val="00672AA7"/>
    <w:rsid w:val="00672D36"/>
    <w:rsid w:val="006749AF"/>
    <w:rsid w:val="0067564A"/>
    <w:rsid w:val="00675B61"/>
    <w:rsid w:val="006761C0"/>
    <w:rsid w:val="00677046"/>
    <w:rsid w:val="006776D0"/>
    <w:rsid w:val="006803D3"/>
    <w:rsid w:val="0068269E"/>
    <w:rsid w:val="00682CAD"/>
    <w:rsid w:val="00683DC9"/>
    <w:rsid w:val="006852E9"/>
    <w:rsid w:val="006878FB"/>
    <w:rsid w:val="006926E8"/>
    <w:rsid w:val="00692B4A"/>
    <w:rsid w:val="00692B9C"/>
    <w:rsid w:val="006930C4"/>
    <w:rsid w:val="0069409F"/>
    <w:rsid w:val="0069416F"/>
    <w:rsid w:val="00694381"/>
    <w:rsid w:val="00695014"/>
    <w:rsid w:val="0069576C"/>
    <w:rsid w:val="00695C41"/>
    <w:rsid w:val="006968E1"/>
    <w:rsid w:val="006968F4"/>
    <w:rsid w:val="00697DF8"/>
    <w:rsid w:val="006A0002"/>
    <w:rsid w:val="006A047B"/>
    <w:rsid w:val="006A1476"/>
    <w:rsid w:val="006A17F7"/>
    <w:rsid w:val="006A1ADD"/>
    <w:rsid w:val="006A1F7F"/>
    <w:rsid w:val="006A1FA9"/>
    <w:rsid w:val="006A2498"/>
    <w:rsid w:val="006A2DCB"/>
    <w:rsid w:val="006A3630"/>
    <w:rsid w:val="006A3D58"/>
    <w:rsid w:val="006A5E46"/>
    <w:rsid w:val="006A682A"/>
    <w:rsid w:val="006A6B87"/>
    <w:rsid w:val="006A7021"/>
    <w:rsid w:val="006B0392"/>
    <w:rsid w:val="006B1355"/>
    <w:rsid w:val="006B1517"/>
    <w:rsid w:val="006B1DC6"/>
    <w:rsid w:val="006B3FF7"/>
    <w:rsid w:val="006B44A5"/>
    <w:rsid w:val="006B6ED8"/>
    <w:rsid w:val="006B7701"/>
    <w:rsid w:val="006C0AE0"/>
    <w:rsid w:val="006C1072"/>
    <w:rsid w:val="006C1A85"/>
    <w:rsid w:val="006C21B2"/>
    <w:rsid w:val="006C23AE"/>
    <w:rsid w:val="006C2470"/>
    <w:rsid w:val="006C3058"/>
    <w:rsid w:val="006C3107"/>
    <w:rsid w:val="006C3863"/>
    <w:rsid w:val="006C4BDC"/>
    <w:rsid w:val="006C4BFF"/>
    <w:rsid w:val="006C5AE4"/>
    <w:rsid w:val="006C5CAB"/>
    <w:rsid w:val="006C62C1"/>
    <w:rsid w:val="006C736A"/>
    <w:rsid w:val="006D07A8"/>
    <w:rsid w:val="006D108C"/>
    <w:rsid w:val="006D1888"/>
    <w:rsid w:val="006D18D9"/>
    <w:rsid w:val="006D1C78"/>
    <w:rsid w:val="006D1D6B"/>
    <w:rsid w:val="006D2B77"/>
    <w:rsid w:val="006D6791"/>
    <w:rsid w:val="006D6DFB"/>
    <w:rsid w:val="006D7290"/>
    <w:rsid w:val="006D72C3"/>
    <w:rsid w:val="006D731E"/>
    <w:rsid w:val="006D7D72"/>
    <w:rsid w:val="006E2105"/>
    <w:rsid w:val="006E2C4F"/>
    <w:rsid w:val="006E3B2A"/>
    <w:rsid w:val="006E3C9D"/>
    <w:rsid w:val="006E5EEB"/>
    <w:rsid w:val="006F009C"/>
    <w:rsid w:val="006F0762"/>
    <w:rsid w:val="006F0E3D"/>
    <w:rsid w:val="006F15AC"/>
    <w:rsid w:val="006F32AA"/>
    <w:rsid w:val="006F4EC3"/>
    <w:rsid w:val="006F5644"/>
    <w:rsid w:val="006F5B55"/>
    <w:rsid w:val="00701378"/>
    <w:rsid w:val="0070183B"/>
    <w:rsid w:val="00702612"/>
    <w:rsid w:val="007026AC"/>
    <w:rsid w:val="00702BAF"/>
    <w:rsid w:val="00703437"/>
    <w:rsid w:val="00703E89"/>
    <w:rsid w:val="00704D0B"/>
    <w:rsid w:val="00705120"/>
    <w:rsid w:val="00711D93"/>
    <w:rsid w:val="007123D6"/>
    <w:rsid w:val="00712B7B"/>
    <w:rsid w:val="00712C2A"/>
    <w:rsid w:val="00713B42"/>
    <w:rsid w:val="0071450B"/>
    <w:rsid w:val="007159DD"/>
    <w:rsid w:val="007207F7"/>
    <w:rsid w:val="00720C28"/>
    <w:rsid w:val="007211E7"/>
    <w:rsid w:val="0072127C"/>
    <w:rsid w:val="00722547"/>
    <w:rsid w:val="00722839"/>
    <w:rsid w:val="00722E7A"/>
    <w:rsid w:val="007231AE"/>
    <w:rsid w:val="00723E67"/>
    <w:rsid w:val="00724339"/>
    <w:rsid w:val="007250D6"/>
    <w:rsid w:val="0072547B"/>
    <w:rsid w:val="00725996"/>
    <w:rsid w:val="007260E3"/>
    <w:rsid w:val="007263AE"/>
    <w:rsid w:val="0072773D"/>
    <w:rsid w:val="007320DE"/>
    <w:rsid w:val="00732BF6"/>
    <w:rsid w:val="00733209"/>
    <w:rsid w:val="00733B0B"/>
    <w:rsid w:val="00734958"/>
    <w:rsid w:val="00735C6D"/>
    <w:rsid w:val="007405FF"/>
    <w:rsid w:val="00741900"/>
    <w:rsid w:val="00741D61"/>
    <w:rsid w:val="00742261"/>
    <w:rsid w:val="00742F12"/>
    <w:rsid w:val="0074369A"/>
    <w:rsid w:val="007439D9"/>
    <w:rsid w:val="007443D0"/>
    <w:rsid w:val="00744425"/>
    <w:rsid w:val="00744E0A"/>
    <w:rsid w:val="00745F32"/>
    <w:rsid w:val="00746222"/>
    <w:rsid w:val="0075034A"/>
    <w:rsid w:val="00750B89"/>
    <w:rsid w:val="00750EF2"/>
    <w:rsid w:val="0075111E"/>
    <w:rsid w:val="00751338"/>
    <w:rsid w:val="00752E84"/>
    <w:rsid w:val="007533AF"/>
    <w:rsid w:val="00754853"/>
    <w:rsid w:val="00754969"/>
    <w:rsid w:val="00755AA2"/>
    <w:rsid w:val="00756635"/>
    <w:rsid w:val="00762385"/>
    <w:rsid w:val="0076391E"/>
    <w:rsid w:val="007653A6"/>
    <w:rsid w:val="0076725A"/>
    <w:rsid w:val="00771625"/>
    <w:rsid w:val="00772032"/>
    <w:rsid w:val="007729EA"/>
    <w:rsid w:val="0077351E"/>
    <w:rsid w:val="00773F5A"/>
    <w:rsid w:val="007744ED"/>
    <w:rsid w:val="00774ED0"/>
    <w:rsid w:val="007750CD"/>
    <w:rsid w:val="00775BB6"/>
    <w:rsid w:val="00775EB2"/>
    <w:rsid w:val="007760D4"/>
    <w:rsid w:val="00777AFC"/>
    <w:rsid w:val="00777C4A"/>
    <w:rsid w:val="00780CE7"/>
    <w:rsid w:val="00781310"/>
    <w:rsid w:val="00782438"/>
    <w:rsid w:val="00782BAF"/>
    <w:rsid w:val="0078326A"/>
    <w:rsid w:val="0078550F"/>
    <w:rsid w:val="00785DA3"/>
    <w:rsid w:val="00785DC4"/>
    <w:rsid w:val="00787181"/>
    <w:rsid w:val="00787A6B"/>
    <w:rsid w:val="00790185"/>
    <w:rsid w:val="007901E6"/>
    <w:rsid w:val="007921F9"/>
    <w:rsid w:val="00793459"/>
    <w:rsid w:val="007938AC"/>
    <w:rsid w:val="00795CFD"/>
    <w:rsid w:val="00796C6E"/>
    <w:rsid w:val="007978A1"/>
    <w:rsid w:val="00797CC1"/>
    <w:rsid w:val="007A0F15"/>
    <w:rsid w:val="007A2925"/>
    <w:rsid w:val="007A319C"/>
    <w:rsid w:val="007A4057"/>
    <w:rsid w:val="007A4A11"/>
    <w:rsid w:val="007A6702"/>
    <w:rsid w:val="007A7466"/>
    <w:rsid w:val="007B02F4"/>
    <w:rsid w:val="007B0EF3"/>
    <w:rsid w:val="007B3167"/>
    <w:rsid w:val="007B3442"/>
    <w:rsid w:val="007B3AAE"/>
    <w:rsid w:val="007B4751"/>
    <w:rsid w:val="007B65C3"/>
    <w:rsid w:val="007B7B09"/>
    <w:rsid w:val="007B7C3E"/>
    <w:rsid w:val="007C0401"/>
    <w:rsid w:val="007C0876"/>
    <w:rsid w:val="007C0DDF"/>
    <w:rsid w:val="007C15C6"/>
    <w:rsid w:val="007C1D0C"/>
    <w:rsid w:val="007C232B"/>
    <w:rsid w:val="007C2BEF"/>
    <w:rsid w:val="007C477F"/>
    <w:rsid w:val="007C501A"/>
    <w:rsid w:val="007C5139"/>
    <w:rsid w:val="007C57D9"/>
    <w:rsid w:val="007C5D5D"/>
    <w:rsid w:val="007C63BA"/>
    <w:rsid w:val="007C63C7"/>
    <w:rsid w:val="007C79C4"/>
    <w:rsid w:val="007C7C5D"/>
    <w:rsid w:val="007D16BD"/>
    <w:rsid w:val="007D179E"/>
    <w:rsid w:val="007D1A23"/>
    <w:rsid w:val="007D2274"/>
    <w:rsid w:val="007D33A3"/>
    <w:rsid w:val="007D42CA"/>
    <w:rsid w:val="007D598E"/>
    <w:rsid w:val="007D72A3"/>
    <w:rsid w:val="007D7E8F"/>
    <w:rsid w:val="007E15F6"/>
    <w:rsid w:val="007E20B0"/>
    <w:rsid w:val="007E3213"/>
    <w:rsid w:val="007E6B62"/>
    <w:rsid w:val="007E7776"/>
    <w:rsid w:val="007E7F9A"/>
    <w:rsid w:val="007F03B6"/>
    <w:rsid w:val="007F1AAB"/>
    <w:rsid w:val="007F2304"/>
    <w:rsid w:val="007F2CB7"/>
    <w:rsid w:val="007F3BDA"/>
    <w:rsid w:val="007F489B"/>
    <w:rsid w:val="007F5071"/>
    <w:rsid w:val="007F5C9E"/>
    <w:rsid w:val="007F6B25"/>
    <w:rsid w:val="007F6D50"/>
    <w:rsid w:val="007F6E2A"/>
    <w:rsid w:val="007F7514"/>
    <w:rsid w:val="00800AF8"/>
    <w:rsid w:val="008012F3"/>
    <w:rsid w:val="00802A18"/>
    <w:rsid w:val="00802ACF"/>
    <w:rsid w:val="008034E9"/>
    <w:rsid w:val="008048C3"/>
    <w:rsid w:val="00806023"/>
    <w:rsid w:val="008065F8"/>
    <w:rsid w:val="00806D10"/>
    <w:rsid w:val="00806FDC"/>
    <w:rsid w:val="008100E9"/>
    <w:rsid w:val="00812A53"/>
    <w:rsid w:val="00812EB7"/>
    <w:rsid w:val="00813740"/>
    <w:rsid w:val="00816022"/>
    <w:rsid w:val="00817B6F"/>
    <w:rsid w:val="00817F1D"/>
    <w:rsid w:val="008203EB"/>
    <w:rsid w:val="0082242D"/>
    <w:rsid w:val="008234FC"/>
    <w:rsid w:val="00823C73"/>
    <w:rsid w:val="00824488"/>
    <w:rsid w:val="008245A5"/>
    <w:rsid w:val="00825C96"/>
    <w:rsid w:val="00825E2C"/>
    <w:rsid w:val="00826C76"/>
    <w:rsid w:val="00826CBD"/>
    <w:rsid w:val="00827AA8"/>
    <w:rsid w:val="00827BAB"/>
    <w:rsid w:val="008305DE"/>
    <w:rsid w:val="00831DC1"/>
    <w:rsid w:val="00832254"/>
    <w:rsid w:val="008324DA"/>
    <w:rsid w:val="00832514"/>
    <w:rsid w:val="00832AB0"/>
    <w:rsid w:val="008339AE"/>
    <w:rsid w:val="00833EDD"/>
    <w:rsid w:val="00834D1F"/>
    <w:rsid w:val="00835961"/>
    <w:rsid w:val="00836CBF"/>
    <w:rsid w:val="00836D3D"/>
    <w:rsid w:val="00837C16"/>
    <w:rsid w:val="008400BE"/>
    <w:rsid w:val="00841238"/>
    <w:rsid w:val="00842F87"/>
    <w:rsid w:val="00844845"/>
    <w:rsid w:val="008448B6"/>
    <w:rsid w:val="00844A16"/>
    <w:rsid w:val="008450EE"/>
    <w:rsid w:val="0084510E"/>
    <w:rsid w:val="008467BA"/>
    <w:rsid w:val="00846B96"/>
    <w:rsid w:val="00847BE5"/>
    <w:rsid w:val="00847DAC"/>
    <w:rsid w:val="00851276"/>
    <w:rsid w:val="00852B8E"/>
    <w:rsid w:val="00852BE5"/>
    <w:rsid w:val="00853B6F"/>
    <w:rsid w:val="00854B05"/>
    <w:rsid w:val="008552DB"/>
    <w:rsid w:val="0085542B"/>
    <w:rsid w:val="00860A77"/>
    <w:rsid w:val="00861808"/>
    <w:rsid w:val="00861B0A"/>
    <w:rsid w:val="00861FAA"/>
    <w:rsid w:val="00862931"/>
    <w:rsid w:val="008629B7"/>
    <w:rsid w:val="00863CBF"/>
    <w:rsid w:val="0086437C"/>
    <w:rsid w:val="0086524D"/>
    <w:rsid w:val="008659BF"/>
    <w:rsid w:val="00865E8A"/>
    <w:rsid w:val="0086630C"/>
    <w:rsid w:val="00866BE0"/>
    <w:rsid w:val="00866F67"/>
    <w:rsid w:val="00870BD6"/>
    <w:rsid w:val="00871001"/>
    <w:rsid w:val="00871933"/>
    <w:rsid w:val="00872634"/>
    <w:rsid w:val="00872EE6"/>
    <w:rsid w:val="008732BD"/>
    <w:rsid w:val="00873B5B"/>
    <w:rsid w:val="0087506A"/>
    <w:rsid w:val="008753E3"/>
    <w:rsid w:val="008756A7"/>
    <w:rsid w:val="00876D39"/>
    <w:rsid w:val="00877629"/>
    <w:rsid w:val="00881B2F"/>
    <w:rsid w:val="008829F7"/>
    <w:rsid w:val="008836DD"/>
    <w:rsid w:val="008851BF"/>
    <w:rsid w:val="00886C65"/>
    <w:rsid w:val="008902C4"/>
    <w:rsid w:val="008907A9"/>
    <w:rsid w:val="00891D30"/>
    <w:rsid w:val="008933CC"/>
    <w:rsid w:val="00893D6E"/>
    <w:rsid w:val="00896069"/>
    <w:rsid w:val="00896B42"/>
    <w:rsid w:val="00897D3A"/>
    <w:rsid w:val="00897E89"/>
    <w:rsid w:val="008A2458"/>
    <w:rsid w:val="008A2EA5"/>
    <w:rsid w:val="008A313E"/>
    <w:rsid w:val="008A3473"/>
    <w:rsid w:val="008A3A60"/>
    <w:rsid w:val="008A3C40"/>
    <w:rsid w:val="008A5722"/>
    <w:rsid w:val="008A57E6"/>
    <w:rsid w:val="008A7E8C"/>
    <w:rsid w:val="008B0BE2"/>
    <w:rsid w:val="008B0E1D"/>
    <w:rsid w:val="008B1C44"/>
    <w:rsid w:val="008B20E3"/>
    <w:rsid w:val="008B2813"/>
    <w:rsid w:val="008B3D5B"/>
    <w:rsid w:val="008B665B"/>
    <w:rsid w:val="008B76E8"/>
    <w:rsid w:val="008C0A75"/>
    <w:rsid w:val="008C178B"/>
    <w:rsid w:val="008C2462"/>
    <w:rsid w:val="008C6CA2"/>
    <w:rsid w:val="008C746B"/>
    <w:rsid w:val="008C7FAD"/>
    <w:rsid w:val="008D0451"/>
    <w:rsid w:val="008D12A9"/>
    <w:rsid w:val="008D1736"/>
    <w:rsid w:val="008D1E7A"/>
    <w:rsid w:val="008D1ED3"/>
    <w:rsid w:val="008D1F61"/>
    <w:rsid w:val="008D2A61"/>
    <w:rsid w:val="008D367D"/>
    <w:rsid w:val="008D4BB9"/>
    <w:rsid w:val="008D6FAE"/>
    <w:rsid w:val="008D771A"/>
    <w:rsid w:val="008D78F1"/>
    <w:rsid w:val="008E013C"/>
    <w:rsid w:val="008E09A6"/>
    <w:rsid w:val="008E0DDC"/>
    <w:rsid w:val="008E3BE3"/>
    <w:rsid w:val="008E3FEF"/>
    <w:rsid w:val="008E4254"/>
    <w:rsid w:val="008E4270"/>
    <w:rsid w:val="008E540E"/>
    <w:rsid w:val="008E5F34"/>
    <w:rsid w:val="008E63C4"/>
    <w:rsid w:val="008E6EF2"/>
    <w:rsid w:val="008E7F97"/>
    <w:rsid w:val="008F17CC"/>
    <w:rsid w:val="008F29A3"/>
    <w:rsid w:val="008F3580"/>
    <w:rsid w:val="008F3ABB"/>
    <w:rsid w:val="008F46FB"/>
    <w:rsid w:val="008F526C"/>
    <w:rsid w:val="008F533D"/>
    <w:rsid w:val="008F5520"/>
    <w:rsid w:val="008F7200"/>
    <w:rsid w:val="00900B8E"/>
    <w:rsid w:val="00901323"/>
    <w:rsid w:val="009023E2"/>
    <w:rsid w:val="0090329C"/>
    <w:rsid w:val="00903EEF"/>
    <w:rsid w:val="00903F63"/>
    <w:rsid w:val="00904B2E"/>
    <w:rsid w:val="00904BC5"/>
    <w:rsid w:val="00905154"/>
    <w:rsid w:val="00905393"/>
    <w:rsid w:val="00905555"/>
    <w:rsid w:val="0090560C"/>
    <w:rsid w:val="00905C8B"/>
    <w:rsid w:val="00905D33"/>
    <w:rsid w:val="00907086"/>
    <w:rsid w:val="0090731F"/>
    <w:rsid w:val="00911C3A"/>
    <w:rsid w:val="00911D2C"/>
    <w:rsid w:val="00912465"/>
    <w:rsid w:val="00914563"/>
    <w:rsid w:val="00914B75"/>
    <w:rsid w:val="00914DFF"/>
    <w:rsid w:val="0091681D"/>
    <w:rsid w:val="00917B54"/>
    <w:rsid w:val="009200C9"/>
    <w:rsid w:val="00920E7B"/>
    <w:rsid w:val="009213EE"/>
    <w:rsid w:val="00921410"/>
    <w:rsid w:val="00922181"/>
    <w:rsid w:val="00923C3B"/>
    <w:rsid w:val="00923C5C"/>
    <w:rsid w:val="00924415"/>
    <w:rsid w:val="0092532C"/>
    <w:rsid w:val="00930562"/>
    <w:rsid w:val="00930D43"/>
    <w:rsid w:val="00931F1D"/>
    <w:rsid w:val="00933D31"/>
    <w:rsid w:val="00933EBA"/>
    <w:rsid w:val="009343CD"/>
    <w:rsid w:val="00934DED"/>
    <w:rsid w:val="00937113"/>
    <w:rsid w:val="009372B0"/>
    <w:rsid w:val="00937370"/>
    <w:rsid w:val="00937CA0"/>
    <w:rsid w:val="00940B83"/>
    <w:rsid w:val="00941B5B"/>
    <w:rsid w:val="00941BA5"/>
    <w:rsid w:val="00942BE9"/>
    <w:rsid w:val="00944A50"/>
    <w:rsid w:val="009453D0"/>
    <w:rsid w:val="009456F4"/>
    <w:rsid w:val="00947F6E"/>
    <w:rsid w:val="00950091"/>
    <w:rsid w:val="00952860"/>
    <w:rsid w:val="00954393"/>
    <w:rsid w:val="009548EF"/>
    <w:rsid w:val="00954954"/>
    <w:rsid w:val="00957093"/>
    <w:rsid w:val="0095786E"/>
    <w:rsid w:val="00957936"/>
    <w:rsid w:val="00960040"/>
    <w:rsid w:val="00960792"/>
    <w:rsid w:val="00960BBF"/>
    <w:rsid w:val="009612E6"/>
    <w:rsid w:val="00963657"/>
    <w:rsid w:val="00963EAF"/>
    <w:rsid w:val="0096493F"/>
    <w:rsid w:val="00964B21"/>
    <w:rsid w:val="00965822"/>
    <w:rsid w:val="0096677E"/>
    <w:rsid w:val="00970F05"/>
    <w:rsid w:val="00971B9B"/>
    <w:rsid w:val="0097214F"/>
    <w:rsid w:val="00973785"/>
    <w:rsid w:val="0097412B"/>
    <w:rsid w:val="00974471"/>
    <w:rsid w:val="0097473A"/>
    <w:rsid w:val="00974985"/>
    <w:rsid w:val="00974A5C"/>
    <w:rsid w:val="00975C76"/>
    <w:rsid w:val="0097641C"/>
    <w:rsid w:val="009773E2"/>
    <w:rsid w:val="00977671"/>
    <w:rsid w:val="009779A4"/>
    <w:rsid w:val="009800F1"/>
    <w:rsid w:val="009802FF"/>
    <w:rsid w:val="009804A7"/>
    <w:rsid w:val="00980545"/>
    <w:rsid w:val="0098134E"/>
    <w:rsid w:val="00983A8F"/>
    <w:rsid w:val="00983E07"/>
    <w:rsid w:val="00984685"/>
    <w:rsid w:val="00984DE8"/>
    <w:rsid w:val="00984E07"/>
    <w:rsid w:val="009851FB"/>
    <w:rsid w:val="00985691"/>
    <w:rsid w:val="00986780"/>
    <w:rsid w:val="00987217"/>
    <w:rsid w:val="00987B11"/>
    <w:rsid w:val="009912BB"/>
    <w:rsid w:val="00991EF7"/>
    <w:rsid w:val="00992B0D"/>
    <w:rsid w:val="00992C7A"/>
    <w:rsid w:val="009932C1"/>
    <w:rsid w:val="0099413B"/>
    <w:rsid w:val="00994B8B"/>
    <w:rsid w:val="00994EBD"/>
    <w:rsid w:val="00995BA9"/>
    <w:rsid w:val="00995D6F"/>
    <w:rsid w:val="00996F6F"/>
    <w:rsid w:val="009A04AC"/>
    <w:rsid w:val="009A0C8C"/>
    <w:rsid w:val="009A45E0"/>
    <w:rsid w:val="009A4D9D"/>
    <w:rsid w:val="009A55C9"/>
    <w:rsid w:val="009A5EC1"/>
    <w:rsid w:val="009A63AF"/>
    <w:rsid w:val="009A642B"/>
    <w:rsid w:val="009A79D8"/>
    <w:rsid w:val="009A7E68"/>
    <w:rsid w:val="009B1B3B"/>
    <w:rsid w:val="009B2CED"/>
    <w:rsid w:val="009B4398"/>
    <w:rsid w:val="009B56BC"/>
    <w:rsid w:val="009B5ED8"/>
    <w:rsid w:val="009B60EF"/>
    <w:rsid w:val="009B65D8"/>
    <w:rsid w:val="009B6AB8"/>
    <w:rsid w:val="009B6AF8"/>
    <w:rsid w:val="009B6F6C"/>
    <w:rsid w:val="009B7F51"/>
    <w:rsid w:val="009C00F7"/>
    <w:rsid w:val="009C1651"/>
    <w:rsid w:val="009C199B"/>
    <w:rsid w:val="009C1D77"/>
    <w:rsid w:val="009C2254"/>
    <w:rsid w:val="009C29C4"/>
    <w:rsid w:val="009C422D"/>
    <w:rsid w:val="009C4703"/>
    <w:rsid w:val="009C4830"/>
    <w:rsid w:val="009C4F86"/>
    <w:rsid w:val="009C53D0"/>
    <w:rsid w:val="009C571C"/>
    <w:rsid w:val="009C7197"/>
    <w:rsid w:val="009C7741"/>
    <w:rsid w:val="009C7CF6"/>
    <w:rsid w:val="009D33E5"/>
    <w:rsid w:val="009D46FF"/>
    <w:rsid w:val="009D62AB"/>
    <w:rsid w:val="009D6F53"/>
    <w:rsid w:val="009D7A7E"/>
    <w:rsid w:val="009E0A2E"/>
    <w:rsid w:val="009E0D95"/>
    <w:rsid w:val="009E2637"/>
    <w:rsid w:val="009E363B"/>
    <w:rsid w:val="009E39EC"/>
    <w:rsid w:val="009E47D0"/>
    <w:rsid w:val="009E4E76"/>
    <w:rsid w:val="009E66B2"/>
    <w:rsid w:val="009E676F"/>
    <w:rsid w:val="009E69F4"/>
    <w:rsid w:val="009E6BC5"/>
    <w:rsid w:val="009F031B"/>
    <w:rsid w:val="009F038F"/>
    <w:rsid w:val="009F04B0"/>
    <w:rsid w:val="009F07C5"/>
    <w:rsid w:val="009F080B"/>
    <w:rsid w:val="009F0FB1"/>
    <w:rsid w:val="009F2A51"/>
    <w:rsid w:val="009F2F68"/>
    <w:rsid w:val="009F4564"/>
    <w:rsid w:val="009F4C86"/>
    <w:rsid w:val="009F59E5"/>
    <w:rsid w:val="009F61B4"/>
    <w:rsid w:val="009F6CE2"/>
    <w:rsid w:val="009F6D8E"/>
    <w:rsid w:val="009F70C1"/>
    <w:rsid w:val="009F722E"/>
    <w:rsid w:val="009F7F83"/>
    <w:rsid w:val="00A005BC"/>
    <w:rsid w:val="00A01597"/>
    <w:rsid w:val="00A015DD"/>
    <w:rsid w:val="00A01761"/>
    <w:rsid w:val="00A0181B"/>
    <w:rsid w:val="00A02154"/>
    <w:rsid w:val="00A02157"/>
    <w:rsid w:val="00A0229E"/>
    <w:rsid w:val="00A02A5E"/>
    <w:rsid w:val="00A03033"/>
    <w:rsid w:val="00A03314"/>
    <w:rsid w:val="00A03D67"/>
    <w:rsid w:val="00A03E3D"/>
    <w:rsid w:val="00A04BB6"/>
    <w:rsid w:val="00A06964"/>
    <w:rsid w:val="00A07FDE"/>
    <w:rsid w:val="00A10BB5"/>
    <w:rsid w:val="00A11CC8"/>
    <w:rsid w:val="00A1240B"/>
    <w:rsid w:val="00A16F18"/>
    <w:rsid w:val="00A17097"/>
    <w:rsid w:val="00A20009"/>
    <w:rsid w:val="00A200D7"/>
    <w:rsid w:val="00A20109"/>
    <w:rsid w:val="00A204FC"/>
    <w:rsid w:val="00A211DB"/>
    <w:rsid w:val="00A212D5"/>
    <w:rsid w:val="00A22256"/>
    <w:rsid w:val="00A23B70"/>
    <w:rsid w:val="00A2443F"/>
    <w:rsid w:val="00A2488B"/>
    <w:rsid w:val="00A24A0F"/>
    <w:rsid w:val="00A25018"/>
    <w:rsid w:val="00A275B1"/>
    <w:rsid w:val="00A279FF"/>
    <w:rsid w:val="00A27B48"/>
    <w:rsid w:val="00A314C5"/>
    <w:rsid w:val="00A323F1"/>
    <w:rsid w:val="00A32719"/>
    <w:rsid w:val="00A33758"/>
    <w:rsid w:val="00A33B98"/>
    <w:rsid w:val="00A36F08"/>
    <w:rsid w:val="00A379C3"/>
    <w:rsid w:val="00A37C09"/>
    <w:rsid w:val="00A40589"/>
    <w:rsid w:val="00A4395E"/>
    <w:rsid w:val="00A439E6"/>
    <w:rsid w:val="00A446B4"/>
    <w:rsid w:val="00A4491C"/>
    <w:rsid w:val="00A45023"/>
    <w:rsid w:val="00A4505C"/>
    <w:rsid w:val="00A457E0"/>
    <w:rsid w:val="00A45D0C"/>
    <w:rsid w:val="00A45E9A"/>
    <w:rsid w:val="00A46529"/>
    <w:rsid w:val="00A47357"/>
    <w:rsid w:val="00A47D8D"/>
    <w:rsid w:val="00A47F72"/>
    <w:rsid w:val="00A50481"/>
    <w:rsid w:val="00A50B85"/>
    <w:rsid w:val="00A50BD1"/>
    <w:rsid w:val="00A52EB7"/>
    <w:rsid w:val="00A54093"/>
    <w:rsid w:val="00A55C6D"/>
    <w:rsid w:val="00A55D5B"/>
    <w:rsid w:val="00A55F03"/>
    <w:rsid w:val="00A575F7"/>
    <w:rsid w:val="00A57645"/>
    <w:rsid w:val="00A579E3"/>
    <w:rsid w:val="00A6010C"/>
    <w:rsid w:val="00A606FE"/>
    <w:rsid w:val="00A6195D"/>
    <w:rsid w:val="00A619D3"/>
    <w:rsid w:val="00A61D78"/>
    <w:rsid w:val="00A6244B"/>
    <w:rsid w:val="00A63218"/>
    <w:rsid w:val="00A65046"/>
    <w:rsid w:val="00A65A8D"/>
    <w:rsid w:val="00A66DE3"/>
    <w:rsid w:val="00A67489"/>
    <w:rsid w:val="00A678A2"/>
    <w:rsid w:val="00A71A8E"/>
    <w:rsid w:val="00A71E34"/>
    <w:rsid w:val="00A735E6"/>
    <w:rsid w:val="00A74989"/>
    <w:rsid w:val="00A74AA0"/>
    <w:rsid w:val="00A750D9"/>
    <w:rsid w:val="00A76309"/>
    <w:rsid w:val="00A76CF2"/>
    <w:rsid w:val="00A77091"/>
    <w:rsid w:val="00A81111"/>
    <w:rsid w:val="00A81797"/>
    <w:rsid w:val="00A82ECD"/>
    <w:rsid w:val="00A85577"/>
    <w:rsid w:val="00A86AE0"/>
    <w:rsid w:val="00A872C7"/>
    <w:rsid w:val="00A90C6E"/>
    <w:rsid w:val="00A9216A"/>
    <w:rsid w:val="00A93189"/>
    <w:rsid w:val="00A93A35"/>
    <w:rsid w:val="00A945EC"/>
    <w:rsid w:val="00A9481D"/>
    <w:rsid w:val="00A9493F"/>
    <w:rsid w:val="00A950F9"/>
    <w:rsid w:val="00A95A79"/>
    <w:rsid w:val="00A95F22"/>
    <w:rsid w:val="00A965F7"/>
    <w:rsid w:val="00A96678"/>
    <w:rsid w:val="00A96DF5"/>
    <w:rsid w:val="00A97019"/>
    <w:rsid w:val="00A97199"/>
    <w:rsid w:val="00AA10E5"/>
    <w:rsid w:val="00AA233E"/>
    <w:rsid w:val="00AA3BF8"/>
    <w:rsid w:val="00AA4BC3"/>
    <w:rsid w:val="00AA4C3B"/>
    <w:rsid w:val="00AA5718"/>
    <w:rsid w:val="00AA5771"/>
    <w:rsid w:val="00AA5815"/>
    <w:rsid w:val="00AA6958"/>
    <w:rsid w:val="00AA7CE2"/>
    <w:rsid w:val="00AB20B9"/>
    <w:rsid w:val="00AB2237"/>
    <w:rsid w:val="00AB50F8"/>
    <w:rsid w:val="00AB59A4"/>
    <w:rsid w:val="00AB5B6A"/>
    <w:rsid w:val="00AB68A0"/>
    <w:rsid w:val="00AC0720"/>
    <w:rsid w:val="00AC09E8"/>
    <w:rsid w:val="00AC0B4E"/>
    <w:rsid w:val="00AC0D60"/>
    <w:rsid w:val="00AC1F28"/>
    <w:rsid w:val="00AC3A10"/>
    <w:rsid w:val="00AC5DAE"/>
    <w:rsid w:val="00AC629B"/>
    <w:rsid w:val="00AC786A"/>
    <w:rsid w:val="00AD11A7"/>
    <w:rsid w:val="00AD165B"/>
    <w:rsid w:val="00AD1689"/>
    <w:rsid w:val="00AD18AF"/>
    <w:rsid w:val="00AD1DD9"/>
    <w:rsid w:val="00AD2DEF"/>
    <w:rsid w:val="00AD4195"/>
    <w:rsid w:val="00AD46C8"/>
    <w:rsid w:val="00AD517E"/>
    <w:rsid w:val="00AD53DE"/>
    <w:rsid w:val="00AD555E"/>
    <w:rsid w:val="00AD5D3E"/>
    <w:rsid w:val="00AD6479"/>
    <w:rsid w:val="00AD6501"/>
    <w:rsid w:val="00AD7121"/>
    <w:rsid w:val="00AD7B88"/>
    <w:rsid w:val="00AD7DC6"/>
    <w:rsid w:val="00AE0846"/>
    <w:rsid w:val="00AE1169"/>
    <w:rsid w:val="00AE29EB"/>
    <w:rsid w:val="00AE2BEA"/>
    <w:rsid w:val="00AE2FD5"/>
    <w:rsid w:val="00AE3136"/>
    <w:rsid w:val="00AE31AA"/>
    <w:rsid w:val="00AE320E"/>
    <w:rsid w:val="00AE56CB"/>
    <w:rsid w:val="00AE742E"/>
    <w:rsid w:val="00AF080C"/>
    <w:rsid w:val="00AF0B5E"/>
    <w:rsid w:val="00AF1522"/>
    <w:rsid w:val="00AF1525"/>
    <w:rsid w:val="00AF184D"/>
    <w:rsid w:val="00AF222E"/>
    <w:rsid w:val="00AF36A8"/>
    <w:rsid w:val="00AF3A8A"/>
    <w:rsid w:val="00AF4B6B"/>
    <w:rsid w:val="00AF5416"/>
    <w:rsid w:val="00AF548B"/>
    <w:rsid w:val="00AF6A93"/>
    <w:rsid w:val="00AF6AE8"/>
    <w:rsid w:val="00AF6CDB"/>
    <w:rsid w:val="00AF6ED0"/>
    <w:rsid w:val="00AF73D1"/>
    <w:rsid w:val="00AF7464"/>
    <w:rsid w:val="00AF76E8"/>
    <w:rsid w:val="00AF7807"/>
    <w:rsid w:val="00B0018D"/>
    <w:rsid w:val="00B023B0"/>
    <w:rsid w:val="00B02854"/>
    <w:rsid w:val="00B05BF3"/>
    <w:rsid w:val="00B06626"/>
    <w:rsid w:val="00B06C28"/>
    <w:rsid w:val="00B07C83"/>
    <w:rsid w:val="00B07D9E"/>
    <w:rsid w:val="00B07EFB"/>
    <w:rsid w:val="00B10377"/>
    <w:rsid w:val="00B104BC"/>
    <w:rsid w:val="00B1089A"/>
    <w:rsid w:val="00B108F1"/>
    <w:rsid w:val="00B10C63"/>
    <w:rsid w:val="00B1167F"/>
    <w:rsid w:val="00B11D27"/>
    <w:rsid w:val="00B124F0"/>
    <w:rsid w:val="00B12C74"/>
    <w:rsid w:val="00B145EF"/>
    <w:rsid w:val="00B1545D"/>
    <w:rsid w:val="00B170EE"/>
    <w:rsid w:val="00B17B6F"/>
    <w:rsid w:val="00B20E83"/>
    <w:rsid w:val="00B23017"/>
    <w:rsid w:val="00B24501"/>
    <w:rsid w:val="00B245F9"/>
    <w:rsid w:val="00B25BA6"/>
    <w:rsid w:val="00B2665B"/>
    <w:rsid w:val="00B27863"/>
    <w:rsid w:val="00B278AE"/>
    <w:rsid w:val="00B27D87"/>
    <w:rsid w:val="00B30010"/>
    <w:rsid w:val="00B31063"/>
    <w:rsid w:val="00B311C7"/>
    <w:rsid w:val="00B3182B"/>
    <w:rsid w:val="00B3207F"/>
    <w:rsid w:val="00B331F4"/>
    <w:rsid w:val="00B34860"/>
    <w:rsid w:val="00B368F4"/>
    <w:rsid w:val="00B36D1C"/>
    <w:rsid w:val="00B36EA8"/>
    <w:rsid w:val="00B3721A"/>
    <w:rsid w:val="00B40F4F"/>
    <w:rsid w:val="00B41082"/>
    <w:rsid w:val="00B416A1"/>
    <w:rsid w:val="00B42E4A"/>
    <w:rsid w:val="00B443B0"/>
    <w:rsid w:val="00B44D54"/>
    <w:rsid w:val="00B45298"/>
    <w:rsid w:val="00B45EC1"/>
    <w:rsid w:val="00B46A8F"/>
    <w:rsid w:val="00B47075"/>
    <w:rsid w:val="00B47E90"/>
    <w:rsid w:val="00B509D2"/>
    <w:rsid w:val="00B50EB0"/>
    <w:rsid w:val="00B51041"/>
    <w:rsid w:val="00B5123A"/>
    <w:rsid w:val="00B51A57"/>
    <w:rsid w:val="00B51D5F"/>
    <w:rsid w:val="00B55140"/>
    <w:rsid w:val="00B5767E"/>
    <w:rsid w:val="00B57AC7"/>
    <w:rsid w:val="00B60EA4"/>
    <w:rsid w:val="00B61A03"/>
    <w:rsid w:val="00B62529"/>
    <w:rsid w:val="00B62B15"/>
    <w:rsid w:val="00B63106"/>
    <w:rsid w:val="00B63E9C"/>
    <w:rsid w:val="00B66C68"/>
    <w:rsid w:val="00B67C51"/>
    <w:rsid w:val="00B7007E"/>
    <w:rsid w:val="00B707BF"/>
    <w:rsid w:val="00B732BB"/>
    <w:rsid w:val="00B73C1D"/>
    <w:rsid w:val="00B745EF"/>
    <w:rsid w:val="00B747C9"/>
    <w:rsid w:val="00B747D9"/>
    <w:rsid w:val="00B77327"/>
    <w:rsid w:val="00B773DE"/>
    <w:rsid w:val="00B77CBC"/>
    <w:rsid w:val="00B77DC6"/>
    <w:rsid w:val="00B80A58"/>
    <w:rsid w:val="00B82AB3"/>
    <w:rsid w:val="00B8433E"/>
    <w:rsid w:val="00B8577F"/>
    <w:rsid w:val="00B866BC"/>
    <w:rsid w:val="00B87886"/>
    <w:rsid w:val="00B90B21"/>
    <w:rsid w:val="00B925F7"/>
    <w:rsid w:val="00B9390D"/>
    <w:rsid w:val="00B947BA"/>
    <w:rsid w:val="00B94D7D"/>
    <w:rsid w:val="00B94DB8"/>
    <w:rsid w:val="00B95198"/>
    <w:rsid w:val="00BA0B6C"/>
    <w:rsid w:val="00BA10FF"/>
    <w:rsid w:val="00BA122F"/>
    <w:rsid w:val="00BA1642"/>
    <w:rsid w:val="00BA2924"/>
    <w:rsid w:val="00BA4296"/>
    <w:rsid w:val="00BA5013"/>
    <w:rsid w:val="00BA6893"/>
    <w:rsid w:val="00BA6E40"/>
    <w:rsid w:val="00BA71A4"/>
    <w:rsid w:val="00BB174F"/>
    <w:rsid w:val="00BB258E"/>
    <w:rsid w:val="00BB45BD"/>
    <w:rsid w:val="00BB657C"/>
    <w:rsid w:val="00BB7E7B"/>
    <w:rsid w:val="00BC00A8"/>
    <w:rsid w:val="00BC0206"/>
    <w:rsid w:val="00BC0DA2"/>
    <w:rsid w:val="00BC0DB4"/>
    <w:rsid w:val="00BC1622"/>
    <w:rsid w:val="00BC33DC"/>
    <w:rsid w:val="00BC3EB7"/>
    <w:rsid w:val="00BC56BB"/>
    <w:rsid w:val="00BC6901"/>
    <w:rsid w:val="00BC6D23"/>
    <w:rsid w:val="00BD0130"/>
    <w:rsid w:val="00BD078E"/>
    <w:rsid w:val="00BD3B97"/>
    <w:rsid w:val="00BD4C0A"/>
    <w:rsid w:val="00BD62EA"/>
    <w:rsid w:val="00BE09B4"/>
    <w:rsid w:val="00BE356A"/>
    <w:rsid w:val="00BE357D"/>
    <w:rsid w:val="00BE6B2E"/>
    <w:rsid w:val="00BE739F"/>
    <w:rsid w:val="00BE7BA6"/>
    <w:rsid w:val="00BF0281"/>
    <w:rsid w:val="00BF0BC0"/>
    <w:rsid w:val="00BF1D1B"/>
    <w:rsid w:val="00BF270D"/>
    <w:rsid w:val="00BF414C"/>
    <w:rsid w:val="00BF41CC"/>
    <w:rsid w:val="00BF5662"/>
    <w:rsid w:val="00BF65EC"/>
    <w:rsid w:val="00BF6A3E"/>
    <w:rsid w:val="00BF763F"/>
    <w:rsid w:val="00BF7DB6"/>
    <w:rsid w:val="00C00338"/>
    <w:rsid w:val="00C006D3"/>
    <w:rsid w:val="00C00AA1"/>
    <w:rsid w:val="00C01973"/>
    <w:rsid w:val="00C01FD3"/>
    <w:rsid w:val="00C03259"/>
    <w:rsid w:val="00C03800"/>
    <w:rsid w:val="00C046C8"/>
    <w:rsid w:val="00C04948"/>
    <w:rsid w:val="00C051CA"/>
    <w:rsid w:val="00C062D0"/>
    <w:rsid w:val="00C06417"/>
    <w:rsid w:val="00C06A5F"/>
    <w:rsid w:val="00C07186"/>
    <w:rsid w:val="00C07BFE"/>
    <w:rsid w:val="00C1111B"/>
    <w:rsid w:val="00C152B2"/>
    <w:rsid w:val="00C162A5"/>
    <w:rsid w:val="00C1632A"/>
    <w:rsid w:val="00C16567"/>
    <w:rsid w:val="00C16BEF"/>
    <w:rsid w:val="00C17B49"/>
    <w:rsid w:val="00C2036F"/>
    <w:rsid w:val="00C20587"/>
    <w:rsid w:val="00C20CBD"/>
    <w:rsid w:val="00C20DB2"/>
    <w:rsid w:val="00C223FD"/>
    <w:rsid w:val="00C2258F"/>
    <w:rsid w:val="00C245E2"/>
    <w:rsid w:val="00C249D6"/>
    <w:rsid w:val="00C24B25"/>
    <w:rsid w:val="00C268BA"/>
    <w:rsid w:val="00C277BE"/>
    <w:rsid w:val="00C27BBA"/>
    <w:rsid w:val="00C31798"/>
    <w:rsid w:val="00C31FE1"/>
    <w:rsid w:val="00C32309"/>
    <w:rsid w:val="00C3234A"/>
    <w:rsid w:val="00C325BF"/>
    <w:rsid w:val="00C32EE8"/>
    <w:rsid w:val="00C355C7"/>
    <w:rsid w:val="00C36646"/>
    <w:rsid w:val="00C37262"/>
    <w:rsid w:val="00C4127C"/>
    <w:rsid w:val="00C42EB9"/>
    <w:rsid w:val="00C436B5"/>
    <w:rsid w:val="00C457C5"/>
    <w:rsid w:val="00C458AC"/>
    <w:rsid w:val="00C4681E"/>
    <w:rsid w:val="00C46FE6"/>
    <w:rsid w:val="00C47954"/>
    <w:rsid w:val="00C50144"/>
    <w:rsid w:val="00C5258B"/>
    <w:rsid w:val="00C57770"/>
    <w:rsid w:val="00C57F41"/>
    <w:rsid w:val="00C60373"/>
    <w:rsid w:val="00C60939"/>
    <w:rsid w:val="00C61316"/>
    <w:rsid w:val="00C627A3"/>
    <w:rsid w:val="00C6323F"/>
    <w:rsid w:val="00C63B88"/>
    <w:rsid w:val="00C63DB5"/>
    <w:rsid w:val="00C672AF"/>
    <w:rsid w:val="00C676C5"/>
    <w:rsid w:val="00C67B81"/>
    <w:rsid w:val="00C706EA"/>
    <w:rsid w:val="00C7073D"/>
    <w:rsid w:val="00C70B73"/>
    <w:rsid w:val="00C72152"/>
    <w:rsid w:val="00C72BC4"/>
    <w:rsid w:val="00C7349A"/>
    <w:rsid w:val="00C73D14"/>
    <w:rsid w:val="00C7463D"/>
    <w:rsid w:val="00C7471A"/>
    <w:rsid w:val="00C7475F"/>
    <w:rsid w:val="00C753A1"/>
    <w:rsid w:val="00C75841"/>
    <w:rsid w:val="00C76A76"/>
    <w:rsid w:val="00C7771C"/>
    <w:rsid w:val="00C80966"/>
    <w:rsid w:val="00C81F2B"/>
    <w:rsid w:val="00C82D5F"/>
    <w:rsid w:val="00C82E83"/>
    <w:rsid w:val="00C84AE8"/>
    <w:rsid w:val="00C8587B"/>
    <w:rsid w:val="00C85DF5"/>
    <w:rsid w:val="00C868A7"/>
    <w:rsid w:val="00C870F4"/>
    <w:rsid w:val="00C879F5"/>
    <w:rsid w:val="00C87D5A"/>
    <w:rsid w:val="00C9020B"/>
    <w:rsid w:val="00C90848"/>
    <w:rsid w:val="00C9153F"/>
    <w:rsid w:val="00C9188C"/>
    <w:rsid w:val="00C92473"/>
    <w:rsid w:val="00C925BF"/>
    <w:rsid w:val="00C92808"/>
    <w:rsid w:val="00C93569"/>
    <w:rsid w:val="00C95003"/>
    <w:rsid w:val="00C95BE6"/>
    <w:rsid w:val="00C963FE"/>
    <w:rsid w:val="00C964CF"/>
    <w:rsid w:val="00C965EC"/>
    <w:rsid w:val="00C97937"/>
    <w:rsid w:val="00CA0167"/>
    <w:rsid w:val="00CA0AEE"/>
    <w:rsid w:val="00CA1091"/>
    <w:rsid w:val="00CA11BD"/>
    <w:rsid w:val="00CA12F7"/>
    <w:rsid w:val="00CA1A71"/>
    <w:rsid w:val="00CA2B01"/>
    <w:rsid w:val="00CA3385"/>
    <w:rsid w:val="00CA45C7"/>
    <w:rsid w:val="00CA46A0"/>
    <w:rsid w:val="00CA4B65"/>
    <w:rsid w:val="00CA4F45"/>
    <w:rsid w:val="00CA500F"/>
    <w:rsid w:val="00CB0891"/>
    <w:rsid w:val="00CB106E"/>
    <w:rsid w:val="00CB1DC2"/>
    <w:rsid w:val="00CB34D2"/>
    <w:rsid w:val="00CB4022"/>
    <w:rsid w:val="00CB632E"/>
    <w:rsid w:val="00CC04D4"/>
    <w:rsid w:val="00CC1458"/>
    <w:rsid w:val="00CC1B76"/>
    <w:rsid w:val="00CC3D68"/>
    <w:rsid w:val="00CC620E"/>
    <w:rsid w:val="00CD15AB"/>
    <w:rsid w:val="00CD3124"/>
    <w:rsid w:val="00CD38DF"/>
    <w:rsid w:val="00CD3A5D"/>
    <w:rsid w:val="00CD5072"/>
    <w:rsid w:val="00CD5319"/>
    <w:rsid w:val="00CD61E0"/>
    <w:rsid w:val="00CD7279"/>
    <w:rsid w:val="00CE0388"/>
    <w:rsid w:val="00CE058C"/>
    <w:rsid w:val="00CE1065"/>
    <w:rsid w:val="00CE312F"/>
    <w:rsid w:val="00CE32DD"/>
    <w:rsid w:val="00CE5647"/>
    <w:rsid w:val="00CE59CA"/>
    <w:rsid w:val="00CE5E41"/>
    <w:rsid w:val="00CE65B5"/>
    <w:rsid w:val="00CE6979"/>
    <w:rsid w:val="00CE770C"/>
    <w:rsid w:val="00CE79A8"/>
    <w:rsid w:val="00CE7C12"/>
    <w:rsid w:val="00CE7D48"/>
    <w:rsid w:val="00CE7F34"/>
    <w:rsid w:val="00CF1262"/>
    <w:rsid w:val="00CF14E4"/>
    <w:rsid w:val="00CF2ABA"/>
    <w:rsid w:val="00CF3626"/>
    <w:rsid w:val="00CF3C4D"/>
    <w:rsid w:val="00CF5A77"/>
    <w:rsid w:val="00CF6402"/>
    <w:rsid w:val="00D00A11"/>
    <w:rsid w:val="00D0120C"/>
    <w:rsid w:val="00D019D0"/>
    <w:rsid w:val="00D0220F"/>
    <w:rsid w:val="00D03248"/>
    <w:rsid w:val="00D034C1"/>
    <w:rsid w:val="00D042A9"/>
    <w:rsid w:val="00D052C7"/>
    <w:rsid w:val="00D05B56"/>
    <w:rsid w:val="00D062DB"/>
    <w:rsid w:val="00D06582"/>
    <w:rsid w:val="00D067C2"/>
    <w:rsid w:val="00D06BC8"/>
    <w:rsid w:val="00D06D48"/>
    <w:rsid w:val="00D0719C"/>
    <w:rsid w:val="00D07625"/>
    <w:rsid w:val="00D07717"/>
    <w:rsid w:val="00D1081C"/>
    <w:rsid w:val="00D109DA"/>
    <w:rsid w:val="00D10D6A"/>
    <w:rsid w:val="00D115A2"/>
    <w:rsid w:val="00D11ACB"/>
    <w:rsid w:val="00D130B1"/>
    <w:rsid w:val="00D13B53"/>
    <w:rsid w:val="00D14023"/>
    <w:rsid w:val="00D16F5F"/>
    <w:rsid w:val="00D1792E"/>
    <w:rsid w:val="00D20B68"/>
    <w:rsid w:val="00D212CD"/>
    <w:rsid w:val="00D219FB"/>
    <w:rsid w:val="00D21BD2"/>
    <w:rsid w:val="00D21F34"/>
    <w:rsid w:val="00D225AE"/>
    <w:rsid w:val="00D230A6"/>
    <w:rsid w:val="00D262E9"/>
    <w:rsid w:val="00D272B1"/>
    <w:rsid w:val="00D272BB"/>
    <w:rsid w:val="00D275E1"/>
    <w:rsid w:val="00D2760A"/>
    <w:rsid w:val="00D27A4E"/>
    <w:rsid w:val="00D30914"/>
    <w:rsid w:val="00D30D61"/>
    <w:rsid w:val="00D3178A"/>
    <w:rsid w:val="00D31865"/>
    <w:rsid w:val="00D31EE0"/>
    <w:rsid w:val="00D324CF"/>
    <w:rsid w:val="00D32BBD"/>
    <w:rsid w:val="00D32BDA"/>
    <w:rsid w:val="00D33160"/>
    <w:rsid w:val="00D34FAE"/>
    <w:rsid w:val="00D36694"/>
    <w:rsid w:val="00D40155"/>
    <w:rsid w:val="00D403C8"/>
    <w:rsid w:val="00D407E6"/>
    <w:rsid w:val="00D40BD3"/>
    <w:rsid w:val="00D423FE"/>
    <w:rsid w:val="00D43C1C"/>
    <w:rsid w:val="00D43C63"/>
    <w:rsid w:val="00D44551"/>
    <w:rsid w:val="00D45317"/>
    <w:rsid w:val="00D47879"/>
    <w:rsid w:val="00D506CC"/>
    <w:rsid w:val="00D50EF1"/>
    <w:rsid w:val="00D51FC8"/>
    <w:rsid w:val="00D52504"/>
    <w:rsid w:val="00D52EE4"/>
    <w:rsid w:val="00D5578D"/>
    <w:rsid w:val="00D55BC5"/>
    <w:rsid w:val="00D57A42"/>
    <w:rsid w:val="00D60313"/>
    <w:rsid w:val="00D61318"/>
    <w:rsid w:val="00D61607"/>
    <w:rsid w:val="00D61C67"/>
    <w:rsid w:val="00D62774"/>
    <w:rsid w:val="00D62C46"/>
    <w:rsid w:val="00D6322B"/>
    <w:rsid w:val="00D63BFD"/>
    <w:rsid w:val="00D63C2C"/>
    <w:rsid w:val="00D64A2A"/>
    <w:rsid w:val="00D64D80"/>
    <w:rsid w:val="00D64E89"/>
    <w:rsid w:val="00D65777"/>
    <w:rsid w:val="00D65A9F"/>
    <w:rsid w:val="00D66878"/>
    <w:rsid w:val="00D66E7E"/>
    <w:rsid w:val="00D717FD"/>
    <w:rsid w:val="00D71E74"/>
    <w:rsid w:val="00D7210C"/>
    <w:rsid w:val="00D72182"/>
    <w:rsid w:val="00D72DFE"/>
    <w:rsid w:val="00D73D0A"/>
    <w:rsid w:val="00D74E0A"/>
    <w:rsid w:val="00D764D5"/>
    <w:rsid w:val="00D77DD3"/>
    <w:rsid w:val="00D8013D"/>
    <w:rsid w:val="00D80333"/>
    <w:rsid w:val="00D80A8D"/>
    <w:rsid w:val="00D81BDF"/>
    <w:rsid w:val="00D81E0F"/>
    <w:rsid w:val="00D835A5"/>
    <w:rsid w:val="00D850AC"/>
    <w:rsid w:val="00D85ED6"/>
    <w:rsid w:val="00D869FA"/>
    <w:rsid w:val="00D87A9B"/>
    <w:rsid w:val="00D911F6"/>
    <w:rsid w:val="00D91F95"/>
    <w:rsid w:val="00D923E0"/>
    <w:rsid w:val="00D92EEF"/>
    <w:rsid w:val="00D93033"/>
    <w:rsid w:val="00D93660"/>
    <w:rsid w:val="00D95DC9"/>
    <w:rsid w:val="00DA0498"/>
    <w:rsid w:val="00DA0D25"/>
    <w:rsid w:val="00DA154E"/>
    <w:rsid w:val="00DA1841"/>
    <w:rsid w:val="00DA230F"/>
    <w:rsid w:val="00DA3C51"/>
    <w:rsid w:val="00DA5307"/>
    <w:rsid w:val="00DA55B0"/>
    <w:rsid w:val="00DA599C"/>
    <w:rsid w:val="00DA7030"/>
    <w:rsid w:val="00DA738E"/>
    <w:rsid w:val="00DA788B"/>
    <w:rsid w:val="00DA7B3C"/>
    <w:rsid w:val="00DB136A"/>
    <w:rsid w:val="00DB2911"/>
    <w:rsid w:val="00DB2A21"/>
    <w:rsid w:val="00DB2F86"/>
    <w:rsid w:val="00DB4E97"/>
    <w:rsid w:val="00DB55AA"/>
    <w:rsid w:val="00DB656E"/>
    <w:rsid w:val="00DB6816"/>
    <w:rsid w:val="00DB7651"/>
    <w:rsid w:val="00DB7658"/>
    <w:rsid w:val="00DB77DF"/>
    <w:rsid w:val="00DB7D9E"/>
    <w:rsid w:val="00DC0542"/>
    <w:rsid w:val="00DC0595"/>
    <w:rsid w:val="00DC0C9F"/>
    <w:rsid w:val="00DC23A9"/>
    <w:rsid w:val="00DC241B"/>
    <w:rsid w:val="00DC44D7"/>
    <w:rsid w:val="00DC47C6"/>
    <w:rsid w:val="00DC4EFB"/>
    <w:rsid w:val="00DC5FCF"/>
    <w:rsid w:val="00DD0D94"/>
    <w:rsid w:val="00DD0DB0"/>
    <w:rsid w:val="00DD0F43"/>
    <w:rsid w:val="00DD1296"/>
    <w:rsid w:val="00DD1DAB"/>
    <w:rsid w:val="00DD27A4"/>
    <w:rsid w:val="00DD2884"/>
    <w:rsid w:val="00DD3560"/>
    <w:rsid w:val="00DD528E"/>
    <w:rsid w:val="00DD7C2F"/>
    <w:rsid w:val="00DE0924"/>
    <w:rsid w:val="00DE237E"/>
    <w:rsid w:val="00DE3D56"/>
    <w:rsid w:val="00DE46E7"/>
    <w:rsid w:val="00DE4B79"/>
    <w:rsid w:val="00DE5A56"/>
    <w:rsid w:val="00DE6234"/>
    <w:rsid w:val="00DE6453"/>
    <w:rsid w:val="00DF0DEE"/>
    <w:rsid w:val="00DF23CB"/>
    <w:rsid w:val="00DF3960"/>
    <w:rsid w:val="00DF4664"/>
    <w:rsid w:val="00DF54D7"/>
    <w:rsid w:val="00DF61B1"/>
    <w:rsid w:val="00DF6A44"/>
    <w:rsid w:val="00DF77C5"/>
    <w:rsid w:val="00E018E7"/>
    <w:rsid w:val="00E04C70"/>
    <w:rsid w:val="00E05E24"/>
    <w:rsid w:val="00E0674A"/>
    <w:rsid w:val="00E07409"/>
    <w:rsid w:val="00E07BC7"/>
    <w:rsid w:val="00E1127D"/>
    <w:rsid w:val="00E13B93"/>
    <w:rsid w:val="00E14533"/>
    <w:rsid w:val="00E14B90"/>
    <w:rsid w:val="00E15949"/>
    <w:rsid w:val="00E15ACD"/>
    <w:rsid w:val="00E15FFF"/>
    <w:rsid w:val="00E1664F"/>
    <w:rsid w:val="00E16C87"/>
    <w:rsid w:val="00E20CEA"/>
    <w:rsid w:val="00E221C9"/>
    <w:rsid w:val="00E2414D"/>
    <w:rsid w:val="00E247C2"/>
    <w:rsid w:val="00E2507D"/>
    <w:rsid w:val="00E26F12"/>
    <w:rsid w:val="00E321AB"/>
    <w:rsid w:val="00E325C7"/>
    <w:rsid w:val="00E33651"/>
    <w:rsid w:val="00E33A6B"/>
    <w:rsid w:val="00E33C86"/>
    <w:rsid w:val="00E33D45"/>
    <w:rsid w:val="00E3576A"/>
    <w:rsid w:val="00E35B72"/>
    <w:rsid w:val="00E36032"/>
    <w:rsid w:val="00E36485"/>
    <w:rsid w:val="00E36F0E"/>
    <w:rsid w:val="00E37C41"/>
    <w:rsid w:val="00E4067A"/>
    <w:rsid w:val="00E40D55"/>
    <w:rsid w:val="00E418E9"/>
    <w:rsid w:val="00E4195F"/>
    <w:rsid w:val="00E430B6"/>
    <w:rsid w:val="00E4483A"/>
    <w:rsid w:val="00E45362"/>
    <w:rsid w:val="00E45427"/>
    <w:rsid w:val="00E4549A"/>
    <w:rsid w:val="00E510C6"/>
    <w:rsid w:val="00E51431"/>
    <w:rsid w:val="00E517F6"/>
    <w:rsid w:val="00E52CA4"/>
    <w:rsid w:val="00E53DAB"/>
    <w:rsid w:val="00E54920"/>
    <w:rsid w:val="00E54DD1"/>
    <w:rsid w:val="00E55876"/>
    <w:rsid w:val="00E55A50"/>
    <w:rsid w:val="00E5660F"/>
    <w:rsid w:val="00E57038"/>
    <w:rsid w:val="00E570D7"/>
    <w:rsid w:val="00E572FC"/>
    <w:rsid w:val="00E5781C"/>
    <w:rsid w:val="00E602C5"/>
    <w:rsid w:val="00E6737B"/>
    <w:rsid w:val="00E7337C"/>
    <w:rsid w:val="00E73AA5"/>
    <w:rsid w:val="00E74178"/>
    <w:rsid w:val="00E754C1"/>
    <w:rsid w:val="00E766D8"/>
    <w:rsid w:val="00E76BFC"/>
    <w:rsid w:val="00E80575"/>
    <w:rsid w:val="00E806FA"/>
    <w:rsid w:val="00E81B98"/>
    <w:rsid w:val="00E82228"/>
    <w:rsid w:val="00E83B91"/>
    <w:rsid w:val="00E840FC"/>
    <w:rsid w:val="00E841F7"/>
    <w:rsid w:val="00E85147"/>
    <w:rsid w:val="00E85230"/>
    <w:rsid w:val="00E86FAA"/>
    <w:rsid w:val="00E901F0"/>
    <w:rsid w:val="00E90AFF"/>
    <w:rsid w:val="00E9291D"/>
    <w:rsid w:val="00E92A06"/>
    <w:rsid w:val="00E92F5B"/>
    <w:rsid w:val="00E93608"/>
    <w:rsid w:val="00E94155"/>
    <w:rsid w:val="00E95212"/>
    <w:rsid w:val="00E95A43"/>
    <w:rsid w:val="00E95FB0"/>
    <w:rsid w:val="00E961C9"/>
    <w:rsid w:val="00E96B81"/>
    <w:rsid w:val="00E96FB2"/>
    <w:rsid w:val="00E977CD"/>
    <w:rsid w:val="00E977F9"/>
    <w:rsid w:val="00E97C26"/>
    <w:rsid w:val="00EA124A"/>
    <w:rsid w:val="00EA19D7"/>
    <w:rsid w:val="00EA1A19"/>
    <w:rsid w:val="00EA1BDB"/>
    <w:rsid w:val="00EA2213"/>
    <w:rsid w:val="00EA2403"/>
    <w:rsid w:val="00EA24DD"/>
    <w:rsid w:val="00EA37E9"/>
    <w:rsid w:val="00EA3907"/>
    <w:rsid w:val="00EA3B42"/>
    <w:rsid w:val="00EA497B"/>
    <w:rsid w:val="00EA4F43"/>
    <w:rsid w:val="00EA53BE"/>
    <w:rsid w:val="00EA579B"/>
    <w:rsid w:val="00EA66A0"/>
    <w:rsid w:val="00EA6C93"/>
    <w:rsid w:val="00EA76B4"/>
    <w:rsid w:val="00EA7F49"/>
    <w:rsid w:val="00EB1750"/>
    <w:rsid w:val="00EB37ED"/>
    <w:rsid w:val="00EB3C0B"/>
    <w:rsid w:val="00EB3F6A"/>
    <w:rsid w:val="00EB4D6D"/>
    <w:rsid w:val="00EB55F7"/>
    <w:rsid w:val="00EB5B6B"/>
    <w:rsid w:val="00EB5D4F"/>
    <w:rsid w:val="00EB695C"/>
    <w:rsid w:val="00EB788F"/>
    <w:rsid w:val="00EB7B48"/>
    <w:rsid w:val="00EC0217"/>
    <w:rsid w:val="00EC04B3"/>
    <w:rsid w:val="00EC052E"/>
    <w:rsid w:val="00EC0D15"/>
    <w:rsid w:val="00EC32BE"/>
    <w:rsid w:val="00EC3612"/>
    <w:rsid w:val="00EC3FF6"/>
    <w:rsid w:val="00EC5605"/>
    <w:rsid w:val="00EC6A3B"/>
    <w:rsid w:val="00EC71EB"/>
    <w:rsid w:val="00EC7F95"/>
    <w:rsid w:val="00EC7FD1"/>
    <w:rsid w:val="00ED0CA6"/>
    <w:rsid w:val="00ED1DDD"/>
    <w:rsid w:val="00ED2224"/>
    <w:rsid w:val="00ED23FB"/>
    <w:rsid w:val="00ED29D6"/>
    <w:rsid w:val="00ED3D2E"/>
    <w:rsid w:val="00ED47E7"/>
    <w:rsid w:val="00ED4B2D"/>
    <w:rsid w:val="00ED4BC8"/>
    <w:rsid w:val="00ED5074"/>
    <w:rsid w:val="00ED5149"/>
    <w:rsid w:val="00ED5556"/>
    <w:rsid w:val="00ED616C"/>
    <w:rsid w:val="00ED6C96"/>
    <w:rsid w:val="00EE0400"/>
    <w:rsid w:val="00EE06EB"/>
    <w:rsid w:val="00EE13F3"/>
    <w:rsid w:val="00EE14ED"/>
    <w:rsid w:val="00EE25B0"/>
    <w:rsid w:val="00EF0328"/>
    <w:rsid w:val="00EF05F1"/>
    <w:rsid w:val="00EF06C2"/>
    <w:rsid w:val="00EF25AD"/>
    <w:rsid w:val="00EF2F78"/>
    <w:rsid w:val="00EF3207"/>
    <w:rsid w:val="00EF41A4"/>
    <w:rsid w:val="00EF4870"/>
    <w:rsid w:val="00EF5DBF"/>
    <w:rsid w:val="00EF6FC3"/>
    <w:rsid w:val="00EF7D72"/>
    <w:rsid w:val="00F00D0A"/>
    <w:rsid w:val="00F00D34"/>
    <w:rsid w:val="00F01178"/>
    <w:rsid w:val="00F01955"/>
    <w:rsid w:val="00F01956"/>
    <w:rsid w:val="00F021DB"/>
    <w:rsid w:val="00F02269"/>
    <w:rsid w:val="00F042AA"/>
    <w:rsid w:val="00F05D0E"/>
    <w:rsid w:val="00F06DD7"/>
    <w:rsid w:val="00F06EB7"/>
    <w:rsid w:val="00F0705A"/>
    <w:rsid w:val="00F10454"/>
    <w:rsid w:val="00F11282"/>
    <w:rsid w:val="00F114EE"/>
    <w:rsid w:val="00F12AF9"/>
    <w:rsid w:val="00F133BD"/>
    <w:rsid w:val="00F13F2B"/>
    <w:rsid w:val="00F1735F"/>
    <w:rsid w:val="00F17473"/>
    <w:rsid w:val="00F20315"/>
    <w:rsid w:val="00F208CC"/>
    <w:rsid w:val="00F21CB1"/>
    <w:rsid w:val="00F21F84"/>
    <w:rsid w:val="00F22966"/>
    <w:rsid w:val="00F22ED5"/>
    <w:rsid w:val="00F2335F"/>
    <w:rsid w:val="00F26DB0"/>
    <w:rsid w:val="00F2727F"/>
    <w:rsid w:val="00F2764E"/>
    <w:rsid w:val="00F2768E"/>
    <w:rsid w:val="00F278D2"/>
    <w:rsid w:val="00F27E06"/>
    <w:rsid w:val="00F30119"/>
    <w:rsid w:val="00F301C4"/>
    <w:rsid w:val="00F301E5"/>
    <w:rsid w:val="00F30B6D"/>
    <w:rsid w:val="00F31A5A"/>
    <w:rsid w:val="00F31FB6"/>
    <w:rsid w:val="00F351B3"/>
    <w:rsid w:val="00F3539D"/>
    <w:rsid w:val="00F36134"/>
    <w:rsid w:val="00F36BBF"/>
    <w:rsid w:val="00F3763B"/>
    <w:rsid w:val="00F378B1"/>
    <w:rsid w:val="00F379D8"/>
    <w:rsid w:val="00F37B76"/>
    <w:rsid w:val="00F40E8C"/>
    <w:rsid w:val="00F42D37"/>
    <w:rsid w:val="00F4317F"/>
    <w:rsid w:val="00F448AA"/>
    <w:rsid w:val="00F44D85"/>
    <w:rsid w:val="00F4551F"/>
    <w:rsid w:val="00F457B0"/>
    <w:rsid w:val="00F463DB"/>
    <w:rsid w:val="00F46416"/>
    <w:rsid w:val="00F5071A"/>
    <w:rsid w:val="00F51F06"/>
    <w:rsid w:val="00F52244"/>
    <w:rsid w:val="00F52A39"/>
    <w:rsid w:val="00F53AE4"/>
    <w:rsid w:val="00F56151"/>
    <w:rsid w:val="00F56A05"/>
    <w:rsid w:val="00F602E4"/>
    <w:rsid w:val="00F60444"/>
    <w:rsid w:val="00F60AA4"/>
    <w:rsid w:val="00F60D57"/>
    <w:rsid w:val="00F61FBE"/>
    <w:rsid w:val="00F625BD"/>
    <w:rsid w:val="00F63633"/>
    <w:rsid w:val="00F63E4D"/>
    <w:rsid w:val="00F6424C"/>
    <w:rsid w:val="00F644F6"/>
    <w:rsid w:val="00F6499F"/>
    <w:rsid w:val="00F650FF"/>
    <w:rsid w:val="00F65B57"/>
    <w:rsid w:val="00F65C7D"/>
    <w:rsid w:val="00F70D98"/>
    <w:rsid w:val="00F714F3"/>
    <w:rsid w:val="00F7155E"/>
    <w:rsid w:val="00F71D23"/>
    <w:rsid w:val="00F7260D"/>
    <w:rsid w:val="00F726B1"/>
    <w:rsid w:val="00F7275E"/>
    <w:rsid w:val="00F72AD2"/>
    <w:rsid w:val="00F72E00"/>
    <w:rsid w:val="00F7343A"/>
    <w:rsid w:val="00F735AE"/>
    <w:rsid w:val="00F74ABF"/>
    <w:rsid w:val="00F74ACD"/>
    <w:rsid w:val="00F7688A"/>
    <w:rsid w:val="00F76E6A"/>
    <w:rsid w:val="00F77B8F"/>
    <w:rsid w:val="00F8025A"/>
    <w:rsid w:val="00F8169B"/>
    <w:rsid w:val="00F81B48"/>
    <w:rsid w:val="00F82060"/>
    <w:rsid w:val="00F82202"/>
    <w:rsid w:val="00F822D1"/>
    <w:rsid w:val="00F83FBC"/>
    <w:rsid w:val="00F869DA"/>
    <w:rsid w:val="00F879E2"/>
    <w:rsid w:val="00F87C67"/>
    <w:rsid w:val="00F90579"/>
    <w:rsid w:val="00F907CD"/>
    <w:rsid w:val="00F92BBB"/>
    <w:rsid w:val="00F933A9"/>
    <w:rsid w:val="00F93DAC"/>
    <w:rsid w:val="00F9424C"/>
    <w:rsid w:val="00F959A8"/>
    <w:rsid w:val="00F96BDA"/>
    <w:rsid w:val="00FA067D"/>
    <w:rsid w:val="00FA06FF"/>
    <w:rsid w:val="00FA090D"/>
    <w:rsid w:val="00FA0E43"/>
    <w:rsid w:val="00FA102B"/>
    <w:rsid w:val="00FA3010"/>
    <w:rsid w:val="00FA3332"/>
    <w:rsid w:val="00FA3352"/>
    <w:rsid w:val="00FA40C9"/>
    <w:rsid w:val="00FA4755"/>
    <w:rsid w:val="00FA5974"/>
    <w:rsid w:val="00FA5C0E"/>
    <w:rsid w:val="00FA79AD"/>
    <w:rsid w:val="00FA79D4"/>
    <w:rsid w:val="00FB088F"/>
    <w:rsid w:val="00FB25BF"/>
    <w:rsid w:val="00FB45F9"/>
    <w:rsid w:val="00FB4C0A"/>
    <w:rsid w:val="00FB59C4"/>
    <w:rsid w:val="00FB60B8"/>
    <w:rsid w:val="00FB6E7D"/>
    <w:rsid w:val="00FC0609"/>
    <w:rsid w:val="00FC0FF9"/>
    <w:rsid w:val="00FC1393"/>
    <w:rsid w:val="00FC2216"/>
    <w:rsid w:val="00FC331E"/>
    <w:rsid w:val="00FC3DA6"/>
    <w:rsid w:val="00FC4D41"/>
    <w:rsid w:val="00FC4DA1"/>
    <w:rsid w:val="00FC501E"/>
    <w:rsid w:val="00FC537E"/>
    <w:rsid w:val="00FC5A5A"/>
    <w:rsid w:val="00FC5F4D"/>
    <w:rsid w:val="00FC639A"/>
    <w:rsid w:val="00FD00F6"/>
    <w:rsid w:val="00FD1996"/>
    <w:rsid w:val="00FD3219"/>
    <w:rsid w:val="00FD33C3"/>
    <w:rsid w:val="00FD3BFE"/>
    <w:rsid w:val="00FD585C"/>
    <w:rsid w:val="00FD5D71"/>
    <w:rsid w:val="00FD6B2C"/>
    <w:rsid w:val="00FE04A3"/>
    <w:rsid w:val="00FE24C1"/>
    <w:rsid w:val="00FE2E07"/>
    <w:rsid w:val="00FE386E"/>
    <w:rsid w:val="00FE4955"/>
    <w:rsid w:val="00FE7959"/>
    <w:rsid w:val="00FF022B"/>
    <w:rsid w:val="00FF05E7"/>
    <w:rsid w:val="00FF107A"/>
    <w:rsid w:val="00FF2AEA"/>
    <w:rsid w:val="00FF3D44"/>
    <w:rsid w:val="00FF51A6"/>
    <w:rsid w:val="00FF6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536144"/>
    <w:pPr>
      <w:spacing w:after="120" w:line="240" w:lineRule="auto"/>
      <w:jc w:val="both"/>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qFormat/>
    <w:rsid w:val="00B51041"/>
    <w:pPr>
      <w:keepNext/>
      <w:spacing w:before="36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qFormat/>
    <w:rsid w:val="00B747D9"/>
    <w:pPr>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qFormat/>
    <w:rsid w:val="00B747D9"/>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C00000"/>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B51041"/>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rsid w:val="00B747D9"/>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rsid w:val="00B747D9"/>
    <w:rPr>
      <w:rFonts w:ascii="Arial Bold" w:eastAsiaTheme="majorEastAsia" w:hAnsi="Arial Bold" w:cstheme="majorBidi"/>
      <w:b/>
      <w:color w:val="C00000"/>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uiPriority w:val="10"/>
    <w:qFormat/>
    <w:rsid w:val="001665F1"/>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1665F1"/>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5865B9"/>
    <w:pPr>
      <w:spacing w:before="5000"/>
      <w:jc w:val="left"/>
    </w:pPr>
    <w:rPr>
      <w:color w:val="FFFFFF" w:themeColor="background1"/>
      <w:sz w:val="96"/>
      <w:szCs w:val="96"/>
    </w:rPr>
  </w:style>
  <w:style w:type="character" w:customStyle="1" w:styleId="SWACoverHeaderChar">
    <w:name w:val="SWA Cover Header Char"/>
    <w:basedOn w:val="TitleChar"/>
    <w:link w:val="SWACoverHeader"/>
    <w:rsid w:val="005865B9"/>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D13B53"/>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7231AE"/>
    <w:pPr>
      <w:jc w:val="right"/>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7231A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738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AF1E2D"/>
    </w:rPr>
  </w:style>
  <w:style w:type="character" w:customStyle="1" w:styleId="SWAFeaturepagetitleChar">
    <w:name w:val="SWA Feature page title Char"/>
    <w:basedOn w:val="Heading1Char"/>
    <w:link w:val="SWAFeaturepagetitle"/>
    <w:rsid w:val="00373889"/>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1stHeading">
    <w:name w:val="SWA 1st Heading"/>
    <w:basedOn w:val="Heading1"/>
    <w:next w:val="Normal"/>
    <w:qFormat/>
    <w:rsid w:val="00AD11A7"/>
    <w:pPr>
      <w:keepLines/>
      <w:numPr>
        <w:ilvl w:val="1"/>
        <w:numId w:val="1"/>
      </w:numPr>
      <w:spacing w:before="240"/>
      <w:ind w:left="709" w:hanging="709"/>
    </w:pPr>
    <w:rPr>
      <w:rFonts w:ascii="Arial" w:hAnsi="Arial"/>
      <w:color w:val="AF1E2D"/>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162DA9"/>
    <w:pPr>
      <w:numPr>
        <w:numId w:val="2"/>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162DA9"/>
    <w:rPr>
      <w:rFonts w:ascii="Arial" w:eastAsia="Times New Roman" w:hAnsi="Arial" w:cs="Times New Roman"/>
      <w:sz w:val="20"/>
      <w:szCs w:val="20"/>
      <w:lang w:eastAsia="en-AU"/>
    </w:rPr>
  </w:style>
  <w:style w:type="paragraph" w:customStyle="1" w:styleId="SWATableheader">
    <w:name w:val="SWA Table header"/>
    <w:link w:val="SWATableheaderChar"/>
    <w:qFormat/>
    <w:rsid w:val="009C1651"/>
    <w:pPr>
      <w:keepNext/>
      <w:spacing w:before="200"/>
    </w:pPr>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9C1651"/>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00338"/>
    <w:pPr>
      <w:keepLines/>
      <w:numPr>
        <w:numId w:val="5"/>
      </w:numPr>
      <w:tabs>
        <w:tab w:val="clear" w:pos="284"/>
        <w:tab w:val="num" w:pos="426"/>
      </w:tabs>
      <w:jc w:val="left"/>
    </w:pPr>
    <w:rPr>
      <w:rFonts w:ascii="Arial" w:hAnsi="Arial"/>
      <w:color w:val="AF1E2D"/>
      <w:kern w:val="0"/>
      <w:sz w:val="3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16022"/>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7653A6"/>
    <w:pPr>
      <w:tabs>
        <w:tab w:val="left" w:pos="284"/>
        <w:tab w:val="right" w:leader="dot" w:pos="8820"/>
      </w:tabs>
      <w:spacing w:before="200" w:after="100"/>
    </w:pPr>
    <w:rPr>
      <w:noProof/>
    </w:rPr>
  </w:style>
  <w:style w:type="paragraph" w:styleId="TOC2">
    <w:name w:val="toc 2"/>
    <w:basedOn w:val="Normal"/>
    <w:next w:val="Normal"/>
    <w:autoRedefine/>
    <w:uiPriority w:val="39"/>
    <w:unhideWhenUsed/>
    <w:rsid w:val="00222F0C"/>
    <w:pPr>
      <w:tabs>
        <w:tab w:val="left" w:pos="709"/>
        <w:tab w:val="right" w:leader="dot" w:pos="8820"/>
      </w:tabs>
      <w:spacing w:after="100"/>
      <w:ind w:left="200"/>
    </w:pPr>
  </w:style>
  <w:style w:type="paragraph" w:styleId="TOC3">
    <w:name w:val="toc 3"/>
    <w:basedOn w:val="Normal"/>
    <w:next w:val="Normal"/>
    <w:autoRedefine/>
    <w:uiPriority w:val="39"/>
    <w:unhideWhenUsed/>
    <w:rsid w:val="00222F0C"/>
    <w:pPr>
      <w:tabs>
        <w:tab w:val="left" w:pos="1276"/>
        <w:tab w:val="right" w:leader="dot" w:pos="8820"/>
      </w:tabs>
      <w:spacing w:after="100"/>
      <w:ind w:left="709"/>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uiPriority w:val="2"/>
    <w:qFormat/>
    <w:rsid w:val="005865B9"/>
    <w:pPr>
      <w:spacing w:line="276" w:lineRule="auto"/>
      <w:jc w:val="left"/>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uiPriority w:val="2"/>
    <w:rsid w:val="005865B9"/>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customStyle="1" w:styleId="SWAnumbering">
    <w:name w:val="SWA numbering"/>
    <w:basedOn w:val="SWABullets"/>
    <w:qFormat/>
    <w:rsid w:val="00963657"/>
    <w:pPr>
      <w:numPr>
        <w:numId w:val="3"/>
      </w:numPr>
      <w:ind w:left="1077" w:hanging="357"/>
    </w:pPr>
  </w:style>
  <w:style w:type="paragraph" w:styleId="Caption">
    <w:name w:val="caption"/>
    <w:basedOn w:val="Normal"/>
    <w:next w:val="Normal"/>
    <w:uiPriority w:val="35"/>
    <w:unhideWhenUsed/>
    <w:qFormat/>
    <w:rsid w:val="00D10D6A"/>
    <w:rPr>
      <w:b/>
      <w:bCs/>
      <w:color w:val="4F81BD" w:themeColor="accent1"/>
      <w:sz w:val="18"/>
      <w:szCs w:val="18"/>
    </w:rPr>
  </w:style>
  <w:style w:type="paragraph" w:customStyle="1" w:styleId="Footnote">
    <w:name w:val="Footnote"/>
    <w:basedOn w:val="BodyText"/>
    <w:uiPriority w:val="99"/>
    <w:rsid w:val="00921410"/>
    <w:pPr>
      <w:suppressAutoHyphens/>
      <w:autoSpaceDE w:val="0"/>
      <w:autoSpaceDN w:val="0"/>
      <w:adjustRightInd w:val="0"/>
      <w:spacing w:before="120" w:after="0" w:line="180" w:lineRule="atLeast"/>
      <w:textAlignment w:val="center"/>
    </w:pPr>
    <w:rPr>
      <w:rFonts w:eastAsiaTheme="minorHAnsi" w:cs="Arial"/>
      <w:color w:val="000000"/>
      <w:sz w:val="16"/>
      <w:szCs w:val="16"/>
      <w:lang w:val="en-US" w:eastAsia="en-US"/>
    </w:rPr>
  </w:style>
  <w:style w:type="paragraph" w:styleId="BodyText">
    <w:name w:val="Body Text"/>
    <w:basedOn w:val="Normal"/>
    <w:link w:val="BodyTextChar"/>
    <w:uiPriority w:val="99"/>
    <w:semiHidden/>
    <w:unhideWhenUsed/>
    <w:rsid w:val="00D10D6A"/>
  </w:style>
  <w:style w:type="character" w:customStyle="1" w:styleId="BodyTextChar">
    <w:name w:val="Body Text Char"/>
    <w:basedOn w:val="DefaultParagraphFont"/>
    <w:link w:val="BodyText"/>
    <w:uiPriority w:val="99"/>
    <w:semiHidden/>
    <w:rsid w:val="00D10D6A"/>
    <w:rPr>
      <w:rFonts w:ascii="Arial" w:eastAsia="Times New Roman" w:hAnsi="Arial" w:cs="Times New Roman"/>
      <w:sz w:val="20"/>
      <w:szCs w:val="24"/>
      <w:lang w:eastAsia="en-AU"/>
    </w:rPr>
  </w:style>
  <w:style w:type="paragraph" w:customStyle="1" w:styleId="BodyJustified">
    <w:name w:val="Body Justified"/>
    <w:basedOn w:val="Normal"/>
    <w:next w:val="Normal"/>
    <w:autoRedefine/>
    <w:qFormat/>
    <w:rsid w:val="000E0F9F"/>
    <w:pPr>
      <w:suppressAutoHyphens/>
      <w:spacing w:line="276" w:lineRule="auto"/>
      <w:textboxTightWrap w:val="firstLineOnly"/>
    </w:pPr>
    <w:rPr>
      <w:rFonts w:eastAsiaTheme="minorHAnsi" w:cs="Arial"/>
      <w:color w:val="000000" w:themeColor="text1"/>
      <w:sz w:val="22"/>
      <w:szCs w:val="22"/>
      <w:lang w:val="en-US" w:eastAsia="en-US"/>
    </w:rPr>
  </w:style>
  <w:style w:type="character" w:customStyle="1" w:styleId="Hyperlinks">
    <w:name w:val="Hyperlinks"/>
    <w:uiPriority w:val="99"/>
    <w:rsid w:val="006F15AC"/>
    <w:rPr>
      <w:color w:val="004266"/>
      <w:u w:val="single"/>
    </w:rPr>
  </w:style>
  <w:style w:type="paragraph" w:customStyle="1" w:styleId="SWASectionnum2">
    <w:name w:val="SWA Section num 2"/>
    <w:basedOn w:val="SWASectionnumberingheading"/>
    <w:qFormat/>
    <w:rsid w:val="00C00338"/>
    <w:pPr>
      <w:numPr>
        <w:ilvl w:val="1"/>
      </w:numPr>
      <w:ind w:left="0"/>
    </w:pPr>
    <w:rPr>
      <w:sz w:val="32"/>
    </w:rPr>
  </w:style>
  <w:style w:type="numbering" w:customStyle="1" w:styleId="SecNumb">
    <w:name w:val="SecNumb"/>
    <w:uiPriority w:val="99"/>
    <w:rsid w:val="00C00338"/>
    <w:pPr>
      <w:numPr>
        <w:numId w:val="4"/>
      </w:numPr>
    </w:pPr>
  </w:style>
  <w:style w:type="paragraph" w:customStyle="1" w:styleId="SWASectionnum3">
    <w:name w:val="SWA Section num 3"/>
    <w:basedOn w:val="SWASectionnum2"/>
    <w:qFormat/>
    <w:rsid w:val="008E013C"/>
    <w:pPr>
      <w:numPr>
        <w:ilvl w:val="2"/>
      </w:numPr>
    </w:pPr>
  </w:style>
  <w:style w:type="paragraph" w:customStyle="1" w:styleId="Titlesmall">
    <w:name w:val="Title small"/>
    <w:basedOn w:val="Title"/>
    <w:qFormat/>
    <w:rsid w:val="001665F1"/>
    <w:pPr>
      <w:spacing w:before="360" w:after="240"/>
    </w:pPr>
    <w:rPr>
      <w:sz w:val="32"/>
    </w:rPr>
  </w:style>
  <w:style w:type="character" w:styleId="CommentReference">
    <w:name w:val="annotation reference"/>
    <w:basedOn w:val="DefaultParagraphFont"/>
    <w:uiPriority w:val="99"/>
    <w:semiHidden/>
    <w:unhideWhenUsed/>
    <w:rsid w:val="007E7776"/>
    <w:rPr>
      <w:sz w:val="16"/>
      <w:szCs w:val="16"/>
    </w:rPr>
  </w:style>
  <w:style w:type="paragraph" w:styleId="CommentText">
    <w:name w:val="annotation text"/>
    <w:basedOn w:val="Normal"/>
    <w:link w:val="CommentTextChar"/>
    <w:uiPriority w:val="99"/>
    <w:unhideWhenUsed/>
    <w:rsid w:val="007E7776"/>
    <w:rPr>
      <w:szCs w:val="20"/>
    </w:rPr>
  </w:style>
  <w:style w:type="character" w:customStyle="1" w:styleId="CommentTextChar">
    <w:name w:val="Comment Text Char"/>
    <w:basedOn w:val="DefaultParagraphFont"/>
    <w:link w:val="CommentText"/>
    <w:uiPriority w:val="99"/>
    <w:rsid w:val="007E7776"/>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7776"/>
    <w:rPr>
      <w:b/>
      <w:bCs/>
    </w:rPr>
  </w:style>
  <w:style w:type="character" w:customStyle="1" w:styleId="CommentSubjectChar">
    <w:name w:val="Comment Subject Char"/>
    <w:basedOn w:val="CommentTextChar"/>
    <w:link w:val="CommentSubject"/>
    <w:uiPriority w:val="99"/>
    <w:semiHidden/>
    <w:rsid w:val="007E7776"/>
    <w:rPr>
      <w:rFonts w:ascii="Arial" w:eastAsia="Times New Roman" w:hAnsi="Arial" w:cs="Times New Roman"/>
      <w:b/>
      <w:bCs/>
      <w:sz w:val="20"/>
      <w:szCs w:val="20"/>
      <w:lang w:eastAsia="en-AU"/>
    </w:rPr>
  </w:style>
  <w:style w:type="paragraph" w:styleId="ListBullet">
    <w:name w:val="List Bullet"/>
    <w:basedOn w:val="Normal"/>
    <w:uiPriority w:val="99"/>
    <w:unhideWhenUsed/>
    <w:rsid w:val="003F4219"/>
    <w:pPr>
      <w:numPr>
        <w:numId w:val="6"/>
      </w:numPr>
      <w:contextualSpacing/>
    </w:pPr>
  </w:style>
  <w:style w:type="paragraph" w:customStyle="1" w:styleId="Disclaimer">
    <w:name w:val="Disclaimer"/>
    <w:basedOn w:val="Normal"/>
    <w:uiPriority w:val="2"/>
    <w:rsid w:val="00077D9A"/>
    <w:pPr>
      <w:spacing w:after="60"/>
      <w:jc w:val="left"/>
    </w:pPr>
    <w:rPr>
      <w:rFonts w:eastAsiaTheme="minorHAnsi" w:cs="Arial"/>
      <w:sz w:val="16"/>
      <w:szCs w:val="16"/>
      <w:lang w:eastAsia="en-US"/>
    </w:rPr>
  </w:style>
  <w:style w:type="character" w:styleId="UnresolvedMention">
    <w:name w:val="Unresolved Mention"/>
    <w:basedOn w:val="DefaultParagraphFont"/>
    <w:uiPriority w:val="99"/>
    <w:semiHidden/>
    <w:unhideWhenUsed/>
    <w:rsid w:val="00AF36A8"/>
    <w:rPr>
      <w:color w:val="605E5C"/>
      <w:shd w:val="clear" w:color="auto" w:fill="E1DFDD"/>
    </w:rPr>
  </w:style>
  <w:style w:type="paragraph" w:styleId="Revision">
    <w:name w:val="Revision"/>
    <w:hidden/>
    <w:uiPriority w:val="99"/>
    <w:semiHidden/>
    <w:rsid w:val="0032103F"/>
    <w:pPr>
      <w:spacing w:after="0" w:line="240" w:lineRule="auto"/>
    </w:pPr>
    <w:rPr>
      <w:rFonts w:ascii="Arial" w:eastAsia="Times New Roman" w:hAnsi="Arial" w:cs="Times New Roman"/>
      <w:sz w:val="20"/>
      <w:szCs w:val="24"/>
      <w:lang w:eastAsia="en-AU"/>
    </w:rPr>
  </w:style>
  <w:style w:type="paragraph" w:styleId="TableofFigures">
    <w:name w:val="table of figures"/>
    <w:basedOn w:val="Normal"/>
    <w:next w:val="Normal"/>
    <w:uiPriority w:val="99"/>
    <w:unhideWhenUsed/>
    <w:rsid w:val="00E1127D"/>
    <w:pPr>
      <w:spacing w:after="0"/>
    </w:pPr>
  </w:style>
  <w:style w:type="paragraph" w:customStyle="1" w:styleId="NoParagraphStyle">
    <w:name w:val="[No Paragraph Style]"/>
    <w:rsid w:val="004513B8"/>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styleId="TOC4">
    <w:name w:val="toc 4"/>
    <w:basedOn w:val="Normal"/>
    <w:next w:val="Normal"/>
    <w:autoRedefine/>
    <w:uiPriority w:val="39"/>
    <w:unhideWhenUsed/>
    <w:rsid w:val="0031228B"/>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1228B"/>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1228B"/>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1228B"/>
    <w:pPr>
      <w:spacing w:after="100" w:line="259" w:lineRule="auto"/>
      <w:ind w:left="132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1228B"/>
    <w:pPr>
      <w:spacing w:after="100" w:line="259" w:lineRule="auto"/>
      <w:ind w:left="1760"/>
      <w:jc w:val="left"/>
    </w:pPr>
    <w:rPr>
      <w:rFonts w:asciiTheme="minorHAnsi" w:eastAsiaTheme="minorEastAsia" w:hAnsiTheme="minorHAnsi" w:cstheme="minorBidi"/>
      <w:sz w:val="22"/>
      <w:szCs w:val="22"/>
    </w:rPr>
  </w:style>
  <w:style w:type="character" w:customStyle="1" w:styleId="ui-provider">
    <w:name w:val="ui-provider"/>
    <w:basedOn w:val="DefaultParagraphFont"/>
    <w:rsid w:val="00FF05E7"/>
  </w:style>
  <w:style w:type="paragraph" w:customStyle="1" w:styleId="paragraph">
    <w:name w:val="paragraph"/>
    <w:basedOn w:val="Normal"/>
    <w:rsid w:val="00663BD6"/>
    <w:pPr>
      <w:spacing w:before="100" w:beforeAutospacing="1" w:after="100" w:afterAutospacing="1"/>
      <w:jc w:val="left"/>
    </w:pPr>
    <w:rPr>
      <w:rFonts w:ascii="Times New Roman" w:hAnsi="Times New Roman"/>
      <w:sz w:val="24"/>
    </w:rPr>
  </w:style>
  <w:style w:type="character" w:customStyle="1" w:styleId="normaltextrun">
    <w:name w:val="normaltextrun"/>
    <w:basedOn w:val="DefaultParagraphFont"/>
    <w:rsid w:val="00663BD6"/>
  </w:style>
  <w:style w:type="character" w:customStyle="1" w:styleId="eop">
    <w:name w:val="eop"/>
    <w:basedOn w:val="DefaultParagraphFont"/>
    <w:rsid w:val="00663BD6"/>
  </w:style>
  <w:style w:type="character" w:customStyle="1" w:styleId="superscript">
    <w:name w:val="superscript"/>
    <w:basedOn w:val="DefaultParagraphFont"/>
    <w:rsid w:val="0066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865">
      <w:bodyDiv w:val="1"/>
      <w:marLeft w:val="0"/>
      <w:marRight w:val="0"/>
      <w:marTop w:val="0"/>
      <w:marBottom w:val="0"/>
      <w:divBdr>
        <w:top w:val="none" w:sz="0" w:space="0" w:color="auto"/>
        <w:left w:val="none" w:sz="0" w:space="0" w:color="auto"/>
        <w:bottom w:val="none" w:sz="0" w:space="0" w:color="auto"/>
        <w:right w:val="none" w:sz="0" w:space="0" w:color="auto"/>
      </w:divBdr>
    </w:div>
    <w:div w:id="16665460">
      <w:bodyDiv w:val="1"/>
      <w:marLeft w:val="0"/>
      <w:marRight w:val="0"/>
      <w:marTop w:val="0"/>
      <w:marBottom w:val="0"/>
      <w:divBdr>
        <w:top w:val="none" w:sz="0" w:space="0" w:color="auto"/>
        <w:left w:val="none" w:sz="0" w:space="0" w:color="auto"/>
        <w:bottom w:val="none" w:sz="0" w:space="0" w:color="auto"/>
        <w:right w:val="none" w:sz="0" w:space="0" w:color="auto"/>
      </w:divBdr>
      <w:divsChild>
        <w:div w:id="1929728486">
          <w:marLeft w:val="0"/>
          <w:marRight w:val="0"/>
          <w:marTop w:val="0"/>
          <w:marBottom w:val="0"/>
          <w:divBdr>
            <w:top w:val="none" w:sz="0" w:space="0" w:color="auto"/>
            <w:left w:val="none" w:sz="0" w:space="0" w:color="auto"/>
            <w:bottom w:val="none" w:sz="0" w:space="0" w:color="auto"/>
            <w:right w:val="none" w:sz="0" w:space="0" w:color="auto"/>
          </w:divBdr>
        </w:div>
      </w:divsChild>
    </w:div>
    <w:div w:id="70397222">
      <w:marLeft w:val="0"/>
      <w:marRight w:val="0"/>
      <w:marTop w:val="0"/>
      <w:marBottom w:val="0"/>
      <w:divBdr>
        <w:top w:val="none" w:sz="0" w:space="0" w:color="auto"/>
        <w:left w:val="none" w:sz="0" w:space="0" w:color="auto"/>
        <w:bottom w:val="none" w:sz="0" w:space="0" w:color="auto"/>
        <w:right w:val="none" w:sz="0" w:space="0" w:color="auto"/>
      </w:divBdr>
    </w:div>
    <w:div w:id="74329201">
      <w:bodyDiv w:val="1"/>
      <w:marLeft w:val="0"/>
      <w:marRight w:val="0"/>
      <w:marTop w:val="0"/>
      <w:marBottom w:val="0"/>
      <w:divBdr>
        <w:top w:val="none" w:sz="0" w:space="0" w:color="auto"/>
        <w:left w:val="none" w:sz="0" w:space="0" w:color="auto"/>
        <w:bottom w:val="none" w:sz="0" w:space="0" w:color="auto"/>
        <w:right w:val="none" w:sz="0" w:space="0" w:color="auto"/>
      </w:divBdr>
    </w:div>
    <w:div w:id="187065800">
      <w:bodyDiv w:val="1"/>
      <w:marLeft w:val="0"/>
      <w:marRight w:val="0"/>
      <w:marTop w:val="0"/>
      <w:marBottom w:val="0"/>
      <w:divBdr>
        <w:top w:val="none" w:sz="0" w:space="0" w:color="auto"/>
        <w:left w:val="none" w:sz="0" w:space="0" w:color="auto"/>
        <w:bottom w:val="none" w:sz="0" w:space="0" w:color="auto"/>
        <w:right w:val="none" w:sz="0" w:space="0" w:color="auto"/>
      </w:divBdr>
    </w:div>
    <w:div w:id="199127797">
      <w:marLeft w:val="0"/>
      <w:marRight w:val="0"/>
      <w:marTop w:val="0"/>
      <w:marBottom w:val="0"/>
      <w:divBdr>
        <w:top w:val="none" w:sz="0" w:space="0" w:color="auto"/>
        <w:left w:val="none" w:sz="0" w:space="0" w:color="auto"/>
        <w:bottom w:val="none" w:sz="0" w:space="0" w:color="auto"/>
        <w:right w:val="none" w:sz="0" w:space="0" w:color="auto"/>
      </w:divBdr>
    </w:div>
    <w:div w:id="212351351">
      <w:bodyDiv w:val="1"/>
      <w:marLeft w:val="0"/>
      <w:marRight w:val="0"/>
      <w:marTop w:val="0"/>
      <w:marBottom w:val="0"/>
      <w:divBdr>
        <w:top w:val="none" w:sz="0" w:space="0" w:color="auto"/>
        <w:left w:val="none" w:sz="0" w:space="0" w:color="auto"/>
        <w:bottom w:val="none" w:sz="0" w:space="0" w:color="auto"/>
        <w:right w:val="none" w:sz="0" w:space="0" w:color="auto"/>
      </w:divBdr>
    </w:div>
    <w:div w:id="264390246">
      <w:marLeft w:val="0"/>
      <w:marRight w:val="0"/>
      <w:marTop w:val="0"/>
      <w:marBottom w:val="0"/>
      <w:divBdr>
        <w:top w:val="none" w:sz="0" w:space="0" w:color="auto"/>
        <w:left w:val="none" w:sz="0" w:space="0" w:color="auto"/>
        <w:bottom w:val="none" w:sz="0" w:space="0" w:color="auto"/>
        <w:right w:val="none" w:sz="0" w:space="0" w:color="auto"/>
      </w:divBdr>
    </w:div>
    <w:div w:id="282420217">
      <w:marLeft w:val="0"/>
      <w:marRight w:val="0"/>
      <w:marTop w:val="0"/>
      <w:marBottom w:val="0"/>
      <w:divBdr>
        <w:top w:val="none" w:sz="0" w:space="0" w:color="auto"/>
        <w:left w:val="none" w:sz="0" w:space="0" w:color="auto"/>
        <w:bottom w:val="none" w:sz="0" w:space="0" w:color="auto"/>
        <w:right w:val="none" w:sz="0" w:space="0" w:color="auto"/>
      </w:divBdr>
    </w:div>
    <w:div w:id="374811478">
      <w:bodyDiv w:val="1"/>
      <w:marLeft w:val="0"/>
      <w:marRight w:val="0"/>
      <w:marTop w:val="0"/>
      <w:marBottom w:val="0"/>
      <w:divBdr>
        <w:top w:val="none" w:sz="0" w:space="0" w:color="auto"/>
        <w:left w:val="none" w:sz="0" w:space="0" w:color="auto"/>
        <w:bottom w:val="none" w:sz="0" w:space="0" w:color="auto"/>
        <w:right w:val="none" w:sz="0" w:space="0" w:color="auto"/>
      </w:divBdr>
    </w:div>
    <w:div w:id="494296523">
      <w:marLeft w:val="0"/>
      <w:marRight w:val="0"/>
      <w:marTop w:val="0"/>
      <w:marBottom w:val="0"/>
      <w:divBdr>
        <w:top w:val="none" w:sz="0" w:space="0" w:color="auto"/>
        <w:left w:val="none" w:sz="0" w:space="0" w:color="auto"/>
        <w:bottom w:val="none" w:sz="0" w:space="0" w:color="auto"/>
        <w:right w:val="none" w:sz="0" w:space="0" w:color="auto"/>
      </w:divBdr>
    </w:div>
    <w:div w:id="518548181">
      <w:bodyDiv w:val="1"/>
      <w:marLeft w:val="0"/>
      <w:marRight w:val="0"/>
      <w:marTop w:val="0"/>
      <w:marBottom w:val="0"/>
      <w:divBdr>
        <w:top w:val="none" w:sz="0" w:space="0" w:color="auto"/>
        <w:left w:val="none" w:sz="0" w:space="0" w:color="auto"/>
        <w:bottom w:val="none" w:sz="0" w:space="0" w:color="auto"/>
        <w:right w:val="none" w:sz="0" w:space="0" w:color="auto"/>
      </w:divBdr>
      <w:divsChild>
        <w:div w:id="1114985035">
          <w:marLeft w:val="0"/>
          <w:marRight w:val="0"/>
          <w:marTop w:val="0"/>
          <w:marBottom w:val="0"/>
          <w:divBdr>
            <w:top w:val="none" w:sz="0" w:space="0" w:color="auto"/>
            <w:left w:val="none" w:sz="0" w:space="0" w:color="auto"/>
            <w:bottom w:val="none" w:sz="0" w:space="0" w:color="auto"/>
            <w:right w:val="none" w:sz="0" w:space="0" w:color="auto"/>
          </w:divBdr>
        </w:div>
      </w:divsChild>
    </w:div>
    <w:div w:id="555122352">
      <w:bodyDiv w:val="1"/>
      <w:marLeft w:val="0"/>
      <w:marRight w:val="0"/>
      <w:marTop w:val="0"/>
      <w:marBottom w:val="0"/>
      <w:divBdr>
        <w:top w:val="none" w:sz="0" w:space="0" w:color="auto"/>
        <w:left w:val="none" w:sz="0" w:space="0" w:color="auto"/>
        <w:bottom w:val="none" w:sz="0" w:space="0" w:color="auto"/>
        <w:right w:val="none" w:sz="0" w:space="0" w:color="auto"/>
      </w:divBdr>
    </w:div>
    <w:div w:id="566917176">
      <w:bodyDiv w:val="1"/>
      <w:marLeft w:val="0"/>
      <w:marRight w:val="0"/>
      <w:marTop w:val="0"/>
      <w:marBottom w:val="0"/>
      <w:divBdr>
        <w:top w:val="none" w:sz="0" w:space="0" w:color="auto"/>
        <w:left w:val="none" w:sz="0" w:space="0" w:color="auto"/>
        <w:bottom w:val="none" w:sz="0" w:space="0" w:color="auto"/>
        <w:right w:val="none" w:sz="0" w:space="0" w:color="auto"/>
      </w:divBdr>
    </w:div>
    <w:div w:id="577523275">
      <w:marLeft w:val="0"/>
      <w:marRight w:val="0"/>
      <w:marTop w:val="0"/>
      <w:marBottom w:val="0"/>
      <w:divBdr>
        <w:top w:val="none" w:sz="0" w:space="0" w:color="auto"/>
        <w:left w:val="none" w:sz="0" w:space="0" w:color="auto"/>
        <w:bottom w:val="none" w:sz="0" w:space="0" w:color="auto"/>
        <w:right w:val="none" w:sz="0" w:space="0" w:color="auto"/>
      </w:divBdr>
    </w:div>
    <w:div w:id="579339294">
      <w:bodyDiv w:val="1"/>
      <w:marLeft w:val="0"/>
      <w:marRight w:val="0"/>
      <w:marTop w:val="0"/>
      <w:marBottom w:val="0"/>
      <w:divBdr>
        <w:top w:val="none" w:sz="0" w:space="0" w:color="auto"/>
        <w:left w:val="none" w:sz="0" w:space="0" w:color="auto"/>
        <w:bottom w:val="none" w:sz="0" w:space="0" w:color="auto"/>
        <w:right w:val="none" w:sz="0" w:space="0" w:color="auto"/>
      </w:divBdr>
    </w:div>
    <w:div w:id="613709474">
      <w:bodyDiv w:val="1"/>
      <w:marLeft w:val="0"/>
      <w:marRight w:val="0"/>
      <w:marTop w:val="0"/>
      <w:marBottom w:val="0"/>
      <w:divBdr>
        <w:top w:val="none" w:sz="0" w:space="0" w:color="auto"/>
        <w:left w:val="none" w:sz="0" w:space="0" w:color="auto"/>
        <w:bottom w:val="none" w:sz="0" w:space="0" w:color="auto"/>
        <w:right w:val="none" w:sz="0" w:space="0" w:color="auto"/>
      </w:divBdr>
    </w:div>
    <w:div w:id="674578057">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698045309">
      <w:bodyDiv w:val="1"/>
      <w:marLeft w:val="0"/>
      <w:marRight w:val="0"/>
      <w:marTop w:val="0"/>
      <w:marBottom w:val="0"/>
      <w:divBdr>
        <w:top w:val="none" w:sz="0" w:space="0" w:color="auto"/>
        <w:left w:val="none" w:sz="0" w:space="0" w:color="auto"/>
        <w:bottom w:val="none" w:sz="0" w:space="0" w:color="auto"/>
        <w:right w:val="none" w:sz="0" w:space="0" w:color="auto"/>
      </w:divBdr>
    </w:div>
    <w:div w:id="702680446">
      <w:bodyDiv w:val="1"/>
      <w:marLeft w:val="0"/>
      <w:marRight w:val="0"/>
      <w:marTop w:val="0"/>
      <w:marBottom w:val="0"/>
      <w:divBdr>
        <w:top w:val="none" w:sz="0" w:space="0" w:color="auto"/>
        <w:left w:val="none" w:sz="0" w:space="0" w:color="auto"/>
        <w:bottom w:val="none" w:sz="0" w:space="0" w:color="auto"/>
        <w:right w:val="none" w:sz="0" w:space="0" w:color="auto"/>
      </w:divBdr>
    </w:div>
    <w:div w:id="717167163">
      <w:bodyDiv w:val="1"/>
      <w:marLeft w:val="0"/>
      <w:marRight w:val="0"/>
      <w:marTop w:val="0"/>
      <w:marBottom w:val="0"/>
      <w:divBdr>
        <w:top w:val="none" w:sz="0" w:space="0" w:color="auto"/>
        <w:left w:val="none" w:sz="0" w:space="0" w:color="auto"/>
        <w:bottom w:val="none" w:sz="0" w:space="0" w:color="auto"/>
        <w:right w:val="none" w:sz="0" w:space="0" w:color="auto"/>
      </w:divBdr>
    </w:div>
    <w:div w:id="747729208">
      <w:bodyDiv w:val="1"/>
      <w:marLeft w:val="0"/>
      <w:marRight w:val="0"/>
      <w:marTop w:val="0"/>
      <w:marBottom w:val="0"/>
      <w:divBdr>
        <w:top w:val="none" w:sz="0" w:space="0" w:color="auto"/>
        <w:left w:val="none" w:sz="0" w:space="0" w:color="auto"/>
        <w:bottom w:val="none" w:sz="0" w:space="0" w:color="auto"/>
        <w:right w:val="none" w:sz="0" w:space="0" w:color="auto"/>
      </w:divBdr>
    </w:div>
    <w:div w:id="769929218">
      <w:bodyDiv w:val="1"/>
      <w:marLeft w:val="0"/>
      <w:marRight w:val="0"/>
      <w:marTop w:val="0"/>
      <w:marBottom w:val="0"/>
      <w:divBdr>
        <w:top w:val="none" w:sz="0" w:space="0" w:color="auto"/>
        <w:left w:val="none" w:sz="0" w:space="0" w:color="auto"/>
        <w:bottom w:val="none" w:sz="0" w:space="0" w:color="auto"/>
        <w:right w:val="none" w:sz="0" w:space="0" w:color="auto"/>
      </w:divBdr>
      <w:divsChild>
        <w:div w:id="1455245155">
          <w:marLeft w:val="0"/>
          <w:marRight w:val="0"/>
          <w:marTop w:val="0"/>
          <w:marBottom w:val="0"/>
          <w:divBdr>
            <w:top w:val="none" w:sz="0" w:space="0" w:color="auto"/>
            <w:left w:val="none" w:sz="0" w:space="0" w:color="auto"/>
            <w:bottom w:val="none" w:sz="0" w:space="0" w:color="auto"/>
            <w:right w:val="none" w:sz="0" w:space="0" w:color="auto"/>
          </w:divBdr>
        </w:div>
      </w:divsChild>
    </w:div>
    <w:div w:id="785854146">
      <w:marLeft w:val="0"/>
      <w:marRight w:val="0"/>
      <w:marTop w:val="0"/>
      <w:marBottom w:val="0"/>
      <w:divBdr>
        <w:top w:val="none" w:sz="0" w:space="0" w:color="auto"/>
        <w:left w:val="none" w:sz="0" w:space="0" w:color="auto"/>
        <w:bottom w:val="none" w:sz="0" w:space="0" w:color="auto"/>
        <w:right w:val="none" w:sz="0" w:space="0" w:color="auto"/>
      </w:divBdr>
    </w:div>
    <w:div w:id="827673405">
      <w:marLeft w:val="0"/>
      <w:marRight w:val="0"/>
      <w:marTop w:val="0"/>
      <w:marBottom w:val="0"/>
      <w:divBdr>
        <w:top w:val="none" w:sz="0" w:space="0" w:color="auto"/>
        <w:left w:val="none" w:sz="0" w:space="0" w:color="auto"/>
        <w:bottom w:val="none" w:sz="0" w:space="0" w:color="auto"/>
        <w:right w:val="none" w:sz="0" w:space="0" w:color="auto"/>
      </w:divBdr>
    </w:div>
    <w:div w:id="827795066">
      <w:bodyDiv w:val="1"/>
      <w:marLeft w:val="0"/>
      <w:marRight w:val="0"/>
      <w:marTop w:val="0"/>
      <w:marBottom w:val="0"/>
      <w:divBdr>
        <w:top w:val="none" w:sz="0" w:space="0" w:color="auto"/>
        <w:left w:val="none" w:sz="0" w:space="0" w:color="auto"/>
        <w:bottom w:val="none" w:sz="0" w:space="0" w:color="auto"/>
        <w:right w:val="none" w:sz="0" w:space="0" w:color="auto"/>
      </w:divBdr>
    </w:div>
    <w:div w:id="964777230">
      <w:marLeft w:val="0"/>
      <w:marRight w:val="0"/>
      <w:marTop w:val="0"/>
      <w:marBottom w:val="0"/>
      <w:divBdr>
        <w:top w:val="none" w:sz="0" w:space="0" w:color="auto"/>
        <w:left w:val="none" w:sz="0" w:space="0" w:color="auto"/>
        <w:bottom w:val="none" w:sz="0" w:space="0" w:color="auto"/>
        <w:right w:val="none" w:sz="0" w:space="0" w:color="auto"/>
      </w:divBdr>
    </w:div>
    <w:div w:id="1017731259">
      <w:bodyDiv w:val="1"/>
      <w:marLeft w:val="0"/>
      <w:marRight w:val="0"/>
      <w:marTop w:val="0"/>
      <w:marBottom w:val="0"/>
      <w:divBdr>
        <w:top w:val="none" w:sz="0" w:space="0" w:color="auto"/>
        <w:left w:val="none" w:sz="0" w:space="0" w:color="auto"/>
        <w:bottom w:val="none" w:sz="0" w:space="0" w:color="auto"/>
        <w:right w:val="none" w:sz="0" w:space="0" w:color="auto"/>
      </w:divBdr>
    </w:div>
    <w:div w:id="1100562467">
      <w:bodyDiv w:val="1"/>
      <w:marLeft w:val="0"/>
      <w:marRight w:val="0"/>
      <w:marTop w:val="0"/>
      <w:marBottom w:val="0"/>
      <w:divBdr>
        <w:top w:val="none" w:sz="0" w:space="0" w:color="auto"/>
        <w:left w:val="none" w:sz="0" w:space="0" w:color="auto"/>
        <w:bottom w:val="none" w:sz="0" w:space="0" w:color="auto"/>
        <w:right w:val="none" w:sz="0" w:space="0" w:color="auto"/>
      </w:divBdr>
      <w:divsChild>
        <w:div w:id="63993589">
          <w:marLeft w:val="0"/>
          <w:marRight w:val="0"/>
          <w:marTop w:val="0"/>
          <w:marBottom w:val="0"/>
          <w:divBdr>
            <w:top w:val="none" w:sz="0" w:space="0" w:color="auto"/>
            <w:left w:val="none" w:sz="0" w:space="0" w:color="auto"/>
            <w:bottom w:val="none" w:sz="0" w:space="0" w:color="auto"/>
            <w:right w:val="none" w:sz="0" w:space="0" w:color="auto"/>
          </w:divBdr>
        </w:div>
      </w:divsChild>
    </w:div>
    <w:div w:id="1111315088">
      <w:bodyDiv w:val="1"/>
      <w:marLeft w:val="0"/>
      <w:marRight w:val="0"/>
      <w:marTop w:val="0"/>
      <w:marBottom w:val="0"/>
      <w:divBdr>
        <w:top w:val="none" w:sz="0" w:space="0" w:color="auto"/>
        <w:left w:val="none" w:sz="0" w:space="0" w:color="auto"/>
        <w:bottom w:val="none" w:sz="0" w:space="0" w:color="auto"/>
        <w:right w:val="none" w:sz="0" w:space="0" w:color="auto"/>
      </w:divBdr>
    </w:div>
    <w:div w:id="1161888058">
      <w:bodyDiv w:val="1"/>
      <w:marLeft w:val="0"/>
      <w:marRight w:val="0"/>
      <w:marTop w:val="0"/>
      <w:marBottom w:val="0"/>
      <w:divBdr>
        <w:top w:val="none" w:sz="0" w:space="0" w:color="auto"/>
        <w:left w:val="none" w:sz="0" w:space="0" w:color="auto"/>
        <w:bottom w:val="none" w:sz="0" w:space="0" w:color="auto"/>
        <w:right w:val="none" w:sz="0" w:space="0" w:color="auto"/>
      </w:divBdr>
    </w:div>
    <w:div w:id="1239099306">
      <w:bodyDiv w:val="1"/>
      <w:marLeft w:val="0"/>
      <w:marRight w:val="0"/>
      <w:marTop w:val="0"/>
      <w:marBottom w:val="0"/>
      <w:divBdr>
        <w:top w:val="none" w:sz="0" w:space="0" w:color="auto"/>
        <w:left w:val="none" w:sz="0" w:space="0" w:color="auto"/>
        <w:bottom w:val="none" w:sz="0" w:space="0" w:color="auto"/>
        <w:right w:val="none" w:sz="0" w:space="0" w:color="auto"/>
      </w:divBdr>
    </w:div>
    <w:div w:id="1292324206">
      <w:marLeft w:val="0"/>
      <w:marRight w:val="0"/>
      <w:marTop w:val="0"/>
      <w:marBottom w:val="0"/>
      <w:divBdr>
        <w:top w:val="none" w:sz="0" w:space="0" w:color="auto"/>
        <w:left w:val="none" w:sz="0" w:space="0" w:color="auto"/>
        <w:bottom w:val="none" w:sz="0" w:space="0" w:color="auto"/>
        <w:right w:val="none" w:sz="0" w:space="0" w:color="auto"/>
      </w:divBdr>
    </w:div>
    <w:div w:id="1296792217">
      <w:bodyDiv w:val="1"/>
      <w:marLeft w:val="0"/>
      <w:marRight w:val="0"/>
      <w:marTop w:val="0"/>
      <w:marBottom w:val="0"/>
      <w:divBdr>
        <w:top w:val="none" w:sz="0" w:space="0" w:color="auto"/>
        <w:left w:val="none" w:sz="0" w:space="0" w:color="auto"/>
        <w:bottom w:val="none" w:sz="0" w:space="0" w:color="auto"/>
        <w:right w:val="none" w:sz="0" w:space="0" w:color="auto"/>
      </w:divBdr>
    </w:div>
    <w:div w:id="1378118405">
      <w:marLeft w:val="0"/>
      <w:marRight w:val="0"/>
      <w:marTop w:val="0"/>
      <w:marBottom w:val="0"/>
      <w:divBdr>
        <w:top w:val="none" w:sz="0" w:space="0" w:color="auto"/>
        <w:left w:val="none" w:sz="0" w:space="0" w:color="auto"/>
        <w:bottom w:val="none" w:sz="0" w:space="0" w:color="auto"/>
        <w:right w:val="none" w:sz="0" w:space="0" w:color="auto"/>
      </w:divBdr>
    </w:div>
    <w:div w:id="1392461034">
      <w:bodyDiv w:val="1"/>
      <w:marLeft w:val="0"/>
      <w:marRight w:val="0"/>
      <w:marTop w:val="0"/>
      <w:marBottom w:val="0"/>
      <w:divBdr>
        <w:top w:val="none" w:sz="0" w:space="0" w:color="auto"/>
        <w:left w:val="none" w:sz="0" w:space="0" w:color="auto"/>
        <w:bottom w:val="none" w:sz="0" w:space="0" w:color="auto"/>
        <w:right w:val="none" w:sz="0" w:space="0" w:color="auto"/>
      </w:divBdr>
    </w:div>
    <w:div w:id="1398431555">
      <w:bodyDiv w:val="1"/>
      <w:marLeft w:val="0"/>
      <w:marRight w:val="0"/>
      <w:marTop w:val="0"/>
      <w:marBottom w:val="0"/>
      <w:divBdr>
        <w:top w:val="none" w:sz="0" w:space="0" w:color="auto"/>
        <w:left w:val="none" w:sz="0" w:space="0" w:color="auto"/>
        <w:bottom w:val="none" w:sz="0" w:space="0" w:color="auto"/>
        <w:right w:val="none" w:sz="0" w:space="0" w:color="auto"/>
      </w:divBdr>
    </w:div>
    <w:div w:id="1499157363">
      <w:marLeft w:val="0"/>
      <w:marRight w:val="0"/>
      <w:marTop w:val="0"/>
      <w:marBottom w:val="0"/>
      <w:divBdr>
        <w:top w:val="none" w:sz="0" w:space="0" w:color="auto"/>
        <w:left w:val="none" w:sz="0" w:space="0" w:color="auto"/>
        <w:bottom w:val="none" w:sz="0" w:space="0" w:color="auto"/>
        <w:right w:val="none" w:sz="0" w:space="0" w:color="auto"/>
      </w:divBdr>
    </w:div>
    <w:div w:id="1541015582">
      <w:bodyDiv w:val="1"/>
      <w:marLeft w:val="0"/>
      <w:marRight w:val="0"/>
      <w:marTop w:val="0"/>
      <w:marBottom w:val="0"/>
      <w:divBdr>
        <w:top w:val="none" w:sz="0" w:space="0" w:color="auto"/>
        <w:left w:val="none" w:sz="0" w:space="0" w:color="auto"/>
        <w:bottom w:val="none" w:sz="0" w:space="0" w:color="auto"/>
        <w:right w:val="none" w:sz="0" w:space="0" w:color="auto"/>
      </w:divBdr>
    </w:div>
    <w:div w:id="1593511168">
      <w:bodyDiv w:val="1"/>
      <w:marLeft w:val="0"/>
      <w:marRight w:val="0"/>
      <w:marTop w:val="0"/>
      <w:marBottom w:val="0"/>
      <w:divBdr>
        <w:top w:val="none" w:sz="0" w:space="0" w:color="auto"/>
        <w:left w:val="none" w:sz="0" w:space="0" w:color="auto"/>
        <w:bottom w:val="none" w:sz="0" w:space="0" w:color="auto"/>
        <w:right w:val="none" w:sz="0" w:space="0" w:color="auto"/>
      </w:divBdr>
    </w:div>
    <w:div w:id="1593512833">
      <w:bodyDiv w:val="1"/>
      <w:marLeft w:val="0"/>
      <w:marRight w:val="0"/>
      <w:marTop w:val="0"/>
      <w:marBottom w:val="0"/>
      <w:divBdr>
        <w:top w:val="none" w:sz="0" w:space="0" w:color="auto"/>
        <w:left w:val="none" w:sz="0" w:space="0" w:color="auto"/>
        <w:bottom w:val="none" w:sz="0" w:space="0" w:color="auto"/>
        <w:right w:val="none" w:sz="0" w:space="0" w:color="auto"/>
      </w:divBdr>
    </w:div>
    <w:div w:id="1610701216">
      <w:marLeft w:val="0"/>
      <w:marRight w:val="0"/>
      <w:marTop w:val="0"/>
      <w:marBottom w:val="0"/>
      <w:divBdr>
        <w:top w:val="none" w:sz="0" w:space="0" w:color="auto"/>
        <w:left w:val="none" w:sz="0" w:space="0" w:color="auto"/>
        <w:bottom w:val="none" w:sz="0" w:space="0" w:color="auto"/>
        <w:right w:val="none" w:sz="0" w:space="0" w:color="auto"/>
      </w:divBdr>
    </w:div>
    <w:div w:id="1611085333">
      <w:marLeft w:val="0"/>
      <w:marRight w:val="0"/>
      <w:marTop w:val="0"/>
      <w:marBottom w:val="0"/>
      <w:divBdr>
        <w:top w:val="none" w:sz="0" w:space="0" w:color="auto"/>
        <w:left w:val="none" w:sz="0" w:space="0" w:color="auto"/>
        <w:bottom w:val="none" w:sz="0" w:space="0" w:color="auto"/>
        <w:right w:val="none" w:sz="0" w:space="0" w:color="auto"/>
      </w:divBdr>
    </w:div>
    <w:div w:id="1758478045">
      <w:bodyDiv w:val="1"/>
      <w:marLeft w:val="0"/>
      <w:marRight w:val="0"/>
      <w:marTop w:val="0"/>
      <w:marBottom w:val="0"/>
      <w:divBdr>
        <w:top w:val="none" w:sz="0" w:space="0" w:color="auto"/>
        <w:left w:val="none" w:sz="0" w:space="0" w:color="auto"/>
        <w:bottom w:val="none" w:sz="0" w:space="0" w:color="auto"/>
        <w:right w:val="none" w:sz="0" w:space="0" w:color="auto"/>
      </w:divBdr>
      <w:divsChild>
        <w:div w:id="1504129364">
          <w:marLeft w:val="0"/>
          <w:marRight w:val="0"/>
          <w:marTop w:val="0"/>
          <w:marBottom w:val="0"/>
          <w:divBdr>
            <w:top w:val="none" w:sz="0" w:space="0" w:color="auto"/>
            <w:left w:val="none" w:sz="0" w:space="0" w:color="auto"/>
            <w:bottom w:val="none" w:sz="0" w:space="0" w:color="auto"/>
            <w:right w:val="none" w:sz="0" w:space="0" w:color="auto"/>
          </w:divBdr>
        </w:div>
      </w:divsChild>
    </w:div>
    <w:div w:id="1796364582">
      <w:bodyDiv w:val="1"/>
      <w:marLeft w:val="0"/>
      <w:marRight w:val="0"/>
      <w:marTop w:val="0"/>
      <w:marBottom w:val="0"/>
      <w:divBdr>
        <w:top w:val="none" w:sz="0" w:space="0" w:color="auto"/>
        <w:left w:val="none" w:sz="0" w:space="0" w:color="auto"/>
        <w:bottom w:val="none" w:sz="0" w:space="0" w:color="auto"/>
        <w:right w:val="none" w:sz="0" w:space="0" w:color="auto"/>
      </w:divBdr>
      <w:divsChild>
        <w:div w:id="1799759354">
          <w:marLeft w:val="0"/>
          <w:marRight w:val="0"/>
          <w:marTop w:val="0"/>
          <w:marBottom w:val="0"/>
          <w:divBdr>
            <w:top w:val="none" w:sz="0" w:space="0" w:color="auto"/>
            <w:left w:val="none" w:sz="0" w:space="0" w:color="auto"/>
            <w:bottom w:val="none" w:sz="0" w:space="0" w:color="auto"/>
            <w:right w:val="none" w:sz="0" w:space="0" w:color="auto"/>
          </w:divBdr>
        </w:div>
      </w:divsChild>
    </w:div>
    <w:div w:id="1843473827">
      <w:bodyDiv w:val="1"/>
      <w:marLeft w:val="0"/>
      <w:marRight w:val="0"/>
      <w:marTop w:val="0"/>
      <w:marBottom w:val="0"/>
      <w:divBdr>
        <w:top w:val="none" w:sz="0" w:space="0" w:color="auto"/>
        <w:left w:val="none" w:sz="0" w:space="0" w:color="auto"/>
        <w:bottom w:val="none" w:sz="0" w:space="0" w:color="auto"/>
        <w:right w:val="none" w:sz="0" w:space="0" w:color="auto"/>
      </w:divBdr>
    </w:div>
    <w:div w:id="1928269741">
      <w:bodyDiv w:val="1"/>
      <w:marLeft w:val="0"/>
      <w:marRight w:val="0"/>
      <w:marTop w:val="0"/>
      <w:marBottom w:val="0"/>
      <w:divBdr>
        <w:top w:val="none" w:sz="0" w:space="0" w:color="auto"/>
        <w:left w:val="none" w:sz="0" w:space="0" w:color="auto"/>
        <w:bottom w:val="none" w:sz="0" w:space="0" w:color="auto"/>
        <w:right w:val="none" w:sz="0" w:space="0" w:color="auto"/>
      </w:divBdr>
      <w:divsChild>
        <w:div w:id="1960452068">
          <w:marLeft w:val="0"/>
          <w:marRight w:val="0"/>
          <w:marTop w:val="0"/>
          <w:marBottom w:val="0"/>
          <w:divBdr>
            <w:top w:val="none" w:sz="0" w:space="0" w:color="auto"/>
            <w:left w:val="none" w:sz="0" w:space="0" w:color="auto"/>
            <w:bottom w:val="none" w:sz="0" w:space="0" w:color="auto"/>
            <w:right w:val="none" w:sz="0" w:space="0" w:color="auto"/>
          </w:divBdr>
        </w:div>
      </w:divsChild>
    </w:div>
    <w:div w:id="1929654546">
      <w:bodyDiv w:val="1"/>
      <w:marLeft w:val="0"/>
      <w:marRight w:val="0"/>
      <w:marTop w:val="0"/>
      <w:marBottom w:val="0"/>
      <w:divBdr>
        <w:top w:val="none" w:sz="0" w:space="0" w:color="auto"/>
        <w:left w:val="none" w:sz="0" w:space="0" w:color="auto"/>
        <w:bottom w:val="none" w:sz="0" w:space="0" w:color="auto"/>
        <w:right w:val="none" w:sz="0" w:space="0" w:color="auto"/>
      </w:divBdr>
      <w:divsChild>
        <w:div w:id="199515259">
          <w:marLeft w:val="0"/>
          <w:marRight w:val="0"/>
          <w:marTop w:val="0"/>
          <w:marBottom w:val="0"/>
          <w:divBdr>
            <w:top w:val="none" w:sz="0" w:space="0" w:color="auto"/>
            <w:left w:val="none" w:sz="0" w:space="0" w:color="auto"/>
            <w:bottom w:val="none" w:sz="0" w:space="0" w:color="auto"/>
            <w:right w:val="none" w:sz="0" w:space="0" w:color="auto"/>
          </w:divBdr>
        </w:div>
      </w:divsChild>
    </w:div>
    <w:div w:id="1965622039">
      <w:bodyDiv w:val="1"/>
      <w:marLeft w:val="0"/>
      <w:marRight w:val="0"/>
      <w:marTop w:val="0"/>
      <w:marBottom w:val="0"/>
      <w:divBdr>
        <w:top w:val="none" w:sz="0" w:space="0" w:color="auto"/>
        <w:left w:val="none" w:sz="0" w:space="0" w:color="auto"/>
        <w:bottom w:val="none" w:sz="0" w:space="0" w:color="auto"/>
        <w:right w:val="none" w:sz="0" w:space="0" w:color="auto"/>
      </w:divBdr>
    </w:div>
    <w:div w:id="1983346320">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1950528">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 w:id="2115048711">
      <w:bodyDiv w:val="1"/>
      <w:marLeft w:val="0"/>
      <w:marRight w:val="0"/>
      <w:marTop w:val="0"/>
      <w:marBottom w:val="0"/>
      <w:divBdr>
        <w:top w:val="none" w:sz="0" w:space="0" w:color="auto"/>
        <w:left w:val="none" w:sz="0" w:space="0" w:color="auto"/>
        <w:bottom w:val="none" w:sz="0" w:space="0" w:color="auto"/>
        <w:right w:val="none" w:sz="0" w:space="0" w:color="auto"/>
      </w:divBdr>
      <w:divsChild>
        <w:div w:id="76928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afeworkaustralia.gov.au/resources-and-publications/guidance-materials/type-occurrence-classification-system-toocs-3rd-edition-may-2008" TargetMode="External"/><Relationship Id="rId21" Type="http://schemas.openxmlformats.org/officeDocument/2006/relationships/chart" Target="charts/chart2.xml"/><Relationship Id="rId34" Type="http://schemas.openxmlformats.org/officeDocument/2006/relationships/chart" Target="charts/chart10.xml"/><Relationship Id="rId42" Type="http://schemas.openxmlformats.org/officeDocument/2006/relationships/image" Target="media/image4.png"/><Relationship Id="rId47" Type="http://schemas.openxmlformats.org/officeDocument/2006/relationships/image" Target="media/image9.png"/><Relationship Id="rId50" Type="http://schemas.openxmlformats.org/officeDocument/2006/relationships/image" Target="media/image12.png"/><Relationship Id="rId55" Type="http://schemas.openxmlformats.org/officeDocument/2006/relationships/image" Target="media/image17.png"/><Relationship Id="rId63" Type="http://schemas.openxmlformats.org/officeDocument/2006/relationships/hyperlink" Target="https://data.safeworkaustralia.gov.au/about-our-datasets/workers-compensation-dat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M3499\AppData\Local\Microsoft\Windows\INetCache\IE\JDDIZ8DH\www.swa.gov.au" TargetMode="External"/><Relationship Id="rId29" Type="http://schemas.openxmlformats.org/officeDocument/2006/relationships/chart" Target="charts/chart5.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chart" Target="charts/chart8.xml"/><Relationship Id="rId37" Type="http://schemas.openxmlformats.org/officeDocument/2006/relationships/hyperlink" Target="https://data.safeworkaustralia.gov.au/insights/key-whs-stats-2023" TargetMode="External"/><Relationship Id="rId40" Type="http://schemas.openxmlformats.org/officeDocument/2006/relationships/image" Target="media/image2.png"/><Relationship Id="rId45" Type="http://schemas.openxmlformats.org/officeDocument/2006/relationships/image" Target="media/image7.png"/><Relationship Id="rId53" Type="http://schemas.openxmlformats.org/officeDocument/2006/relationships/image" Target="media/image15.png"/><Relationship Id="rId58" Type="http://schemas.openxmlformats.org/officeDocument/2006/relationships/image" Target="media/image20.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ata.safeworkaustralia.gov.au/about-our-datasets/workers-compensation-data" TargetMode="External"/><Relationship Id="rId19" Type="http://schemas.openxmlformats.org/officeDocument/2006/relationships/footer" Target="footer4.xml"/><Relationship Id="rId14" Type="http://schemas.openxmlformats.org/officeDocument/2006/relationships/image" Target="media/image1.jpg"/><Relationship Id="rId22" Type="http://schemas.openxmlformats.org/officeDocument/2006/relationships/chart" Target="charts/chart3.xml"/><Relationship Id="rId27" Type="http://schemas.openxmlformats.org/officeDocument/2006/relationships/hyperlink" Target="https://data.safeworkaustralia.gov.au/interactive-data/topic/workers-compensation" TargetMode="External"/><Relationship Id="rId30" Type="http://schemas.openxmlformats.org/officeDocument/2006/relationships/chart" Target="charts/chart6.xml"/><Relationship Id="rId35" Type="http://schemas.openxmlformats.org/officeDocument/2006/relationships/hyperlink" Target="https://www.safeworkaustralia.gov.au/resources-and-publications/guidance-materials/type-occurrence-classification-system-toocs-3rd-edition-may-2008" TargetMode="Externa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image" Target="media/image18.png"/><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image" Target="media/image13.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safeworkaustralia.gov.au/workers-compensation/comparing-workers-compensation-australia" TargetMode="External"/><Relationship Id="rId25" Type="http://schemas.openxmlformats.org/officeDocument/2006/relationships/hyperlink" Target="https://www.safeworkaustralia.gov.au/collection/work-related-traumatic-injury-fatalities" TargetMode="External"/><Relationship Id="rId33" Type="http://schemas.openxmlformats.org/officeDocument/2006/relationships/chart" Target="charts/chart9.xml"/><Relationship Id="rId38" Type="http://schemas.openxmlformats.org/officeDocument/2006/relationships/chart" Target="charts/chart12.xml"/><Relationship Id="rId46" Type="http://schemas.openxmlformats.org/officeDocument/2006/relationships/image" Target="media/image8.png"/><Relationship Id="rId59" Type="http://schemas.openxmlformats.org/officeDocument/2006/relationships/image" Target="media/image21.png"/><Relationship Id="rId20" Type="http://schemas.openxmlformats.org/officeDocument/2006/relationships/chart" Target="charts/chart1.xml"/><Relationship Id="rId41" Type="http://schemas.openxmlformats.org/officeDocument/2006/relationships/image" Target="media/image3.png"/><Relationship Id="rId54" Type="http://schemas.openxmlformats.org/officeDocument/2006/relationships/image" Target="media/image16.png"/><Relationship Id="rId62" Type="http://schemas.openxmlformats.org/officeDocument/2006/relationships/hyperlink" Target="https://data.safeworkaustralia.gov.au/about-our-datasets/work-related-fatalities-dat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swa.gov.au" TargetMode="External"/><Relationship Id="rId23" Type="http://schemas.openxmlformats.org/officeDocument/2006/relationships/chart" Target="charts/chart4.xml"/><Relationship Id="rId28" Type="http://schemas.openxmlformats.org/officeDocument/2006/relationships/hyperlink" Target="https://data.safeworkaustralia.gov.au/" TargetMode="External"/><Relationship Id="rId36" Type="http://schemas.openxmlformats.org/officeDocument/2006/relationships/chart" Target="charts/chart11.xml"/><Relationship Id="rId49" Type="http://schemas.openxmlformats.org/officeDocument/2006/relationships/image" Target="media/image11.png"/><Relationship Id="rId57" Type="http://schemas.openxmlformats.org/officeDocument/2006/relationships/image" Target="media/image19.png"/><Relationship Id="rId10" Type="http://schemas.openxmlformats.org/officeDocument/2006/relationships/footer" Target="footer1.xml"/><Relationship Id="rId31" Type="http://schemas.openxmlformats.org/officeDocument/2006/relationships/chart" Target="charts/chart7.xml"/><Relationship Id="rId44" Type="http://schemas.openxmlformats.org/officeDocument/2006/relationships/image" Target="media/image6.png"/><Relationship Id="rId52" Type="http://schemas.openxmlformats.org/officeDocument/2006/relationships/image" Target="media/image14.png"/><Relationship Id="rId60" Type="http://schemas.openxmlformats.org/officeDocument/2006/relationships/hyperlink" Target="https://data.safeworkaustralia.gov.au/about-our-datasets/type-occurrence-classification-system-toocs-3rd-edi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PRODAPP.application.enet\STATS_DATA\Data%20and%20Analysis\Projects\CPM%20Project\CPM%2025th%20Report%20-%202021-22\Report\Draft%20reports\CPM%2025%20-%20Work%20Health%20and%20Safety%20Performanc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142883716027585"/>
          <c:y val="3.0869545499943241E-2"/>
          <c:w val="0.80635045627240864"/>
          <c:h val="0.60984234145083194"/>
        </c:manualLayout>
      </c:layout>
      <c:barChart>
        <c:barDir val="col"/>
        <c:grouping val="clustered"/>
        <c:varyColors val="0"/>
        <c:ser>
          <c:idx val="6"/>
          <c:order val="0"/>
          <c:tx>
            <c:strRef>
              <c:f>'Incidence rate'!$B$5</c:f>
              <c:strCache>
                <c:ptCount val="1"/>
                <c:pt idx="0">
                  <c:v>2016-17</c:v>
                </c:pt>
              </c:strCache>
            </c:strRef>
          </c:tx>
          <c:spPr>
            <a:solidFill>
              <a:sysClr val="window" lastClr="FFFFFF"/>
            </a:solidFill>
            <a:ln w="6350">
              <a:solidFill>
                <a:sysClr val="windowText" lastClr="000000"/>
              </a:solidFill>
            </a:ln>
          </c:spPr>
          <c:invertIfNegative val="0"/>
          <c:cat>
            <c:strRef>
              <c:f>'Incidence rate'!$A$6:$A$15</c:f>
              <c:strCache>
                <c:ptCount val="10"/>
                <c:pt idx="0">
                  <c:v>NSW</c:v>
                </c:pt>
                <c:pt idx="1">
                  <c:v>TAS</c:v>
                </c:pt>
                <c:pt idx="2">
                  <c:v>QLD</c:v>
                </c:pt>
                <c:pt idx="3">
                  <c:v>WA</c:v>
                </c:pt>
                <c:pt idx="4">
                  <c:v>ACT</c:v>
                </c:pt>
                <c:pt idx="5">
                  <c:v>SA</c:v>
                </c:pt>
                <c:pt idx="6">
                  <c:v>VIC</c:v>
                </c:pt>
                <c:pt idx="7">
                  <c:v>NT</c:v>
                </c:pt>
                <c:pt idx="8">
                  <c:v>Aus Gov</c:v>
                </c:pt>
                <c:pt idx="9">
                  <c:v>Aus total</c:v>
                </c:pt>
              </c:strCache>
            </c:strRef>
          </c:cat>
          <c:val>
            <c:numRef>
              <c:f>'Incidence rate'!$B$6:$B$15</c:f>
              <c:numCache>
                <c:formatCode>General</c:formatCode>
                <c:ptCount val="10"/>
                <c:pt idx="0">
                  <c:v>10</c:v>
                </c:pt>
                <c:pt idx="1">
                  <c:v>12.6</c:v>
                </c:pt>
                <c:pt idx="2">
                  <c:v>12</c:v>
                </c:pt>
                <c:pt idx="3">
                  <c:v>9.5</c:v>
                </c:pt>
                <c:pt idx="4">
                  <c:v>10.5</c:v>
                </c:pt>
                <c:pt idx="5">
                  <c:v>8.3000000000000007</c:v>
                </c:pt>
                <c:pt idx="6">
                  <c:v>6.4</c:v>
                </c:pt>
                <c:pt idx="7">
                  <c:v>9.6</c:v>
                </c:pt>
                <c:pt idx="8">
                  <c:v>4.4000000000000004</c:v>
                </c:pt>
                <c:pt idx="9">
                  <c:v>9.1999999999999993</c:v>
                </c:pt>
              </c:numCache>
            </c:numRef>
          </c:val>
          <c:extLst>
            <c:ext xmlns:c16="http://schemas.microsoft.com/office/drawing/2014/chart" uri="{C3380CC4-5D6E-409C-BE32-E72D297353CC}">
              <c16:uniqueId val="{00000000-F9D2-49CB-81EF-3E4D52C7C807}"/>
            </c:ext>
          </c:extLst>
        </c:ser>
        <c:ser>
          <c:idx val="0"/>
          <c:order val="1"/>
          <c:tx>
            <c:strRef>
              <c:f>'Incidence rate'!$C$5</c:f>
              <c:strCache>
                <c:ptCount val="1"/>
                <c:pt idx="0">
                  <c:v>2017-18</c:v>
                </c:pt>
              </c:strCache>
            </c:strRef>
          </c:tx>
          <c:spPr>
            <a:solidFill>
              <a:srgbClr val="D9D9D9"/>
            </a:solidFill>
            <a:ln w="6350">
              <a:solidFill>
                <a:sysClr val="windowText" lastClr="000000"/>
              </a:solidFill>
            </a:ln>
          </c:spPr>
          <c:invertIfNegative val="0"/>
          <c:cat>
            <c:strRef>
              <c:f>'Incidence rate'!$A$6:$A$15</c:f>
              <c:strCache>
                <c:ptCount val="10"/>
                <c:pt idx="0">
                  <c:v>NSW</c:v>
                </c:pt>
                <c:pt idx="1">
                  <c:v>TAS</c:v>
                </c:pt>
                <c:pt idx="2">
                  <c:v>QLD</c:v>
                </c:pt>
                <c:pt idx="3">
                  <c:v>WA</c:v>
                </c:pt>
                <c:pt idx="4">
                  <c:v>ACT</c:v>
                </c:pt>
                <c:pt idx="5">
                  <c:v>SA</c:v>
                </c:pt>
                <c:pt idx="6">
                  <c:v>VIC</c:v>
                </c:pt>
                <c:pt idx="7">
                  <c:v>NT</c:v>
                </c:pt>
                <c:pt idx="8">
                  <c:v>Aus Gov</c:v>
                </c:pt>
                <c:pt idx="9">
                  <c:v>Aus total</c:v>
                </c:pt>
              </c:strCache>
            </c:strRef>
          </c:cat>
          <c:val>
            <c:numRef>
              <c:f>'Incidence rate'!$C$6:$C$15</c:f>
              <c:numCache>
                <c:formatCode>General</c:formatCode>
                <c:ptCount val="10"/>
                <c:pt idx="0">
                  <c:v>10.1</c:v>
                </c:pt>
                <c:pt idx="1">
                  <c:v>12</c:v>
                </c:pt>
                <c:pt idx="2">
                  <c:v>11.9</c:v>
                </c:pt>
                <c:pt idx="3">
                  <c:v>9.5</c:v>
                </c:pt>
                <c:pt idx="4">
                  <c:v>10.4</c:v>
                </c:pt>
                <c:pt idx="5">
                  <c:v>8.1999999999999993</c:v>
                </c:pt>
                <c:pt idx="6">
                  <c:v>6.3</c:v>
                </c:pt>
                <c:pt idx="7">
                  <c:v>9.1</c:v>
                </c:pt>
                <c:pt idx="8">
                  <c:v>4.5999999999999996</c:v>
                </c:pt>
                <c:pt idx="9">
                  <c:v>9.1</c:v>
                </c:pt>
              </c:numCache>
            </c:numRef>
          </c:val>
          <c:extLst>
            <c:ext xmlns:c16="http://schemas.microsoft.com/office/drawing/2014/chart" uri="{C3380CC4-5D6E-409C-BE32-E72D297353CC}">
              <c16:uniqueId val="{00000001-F9D2-49CB-81EF-3E4D52C7C807}"/>
            </c:ext>
          </c:extLst>
        </c:ser>
        <c:ser>
          <c:idx val="1"/>
          <c:order val="2"/>
          <c:tx>
            <c:strRef>
              <c:f>'Incidence rate'!$D$5</c:f>
              <c:strCache>
                <c:ptCount val="1"/>
                <c:pt idx="0">
                  <c:v>2018-19</c:v>
                </c:pt>
              </c:strCache>
            </c:strRef>
          </c:tx>
          <c:spPr>
            <a:solidFill>
              <a:srgbClr val="A6A6A6"/>
            </a:solidFill>
            <a:ln w="6350">
              <a:solidFill>
                <a:sysClr val="windowText" lastClr="000000"/>
              </a:solidFill>
            </a:ln>
          </c:spPr>
          <c:invertIfNegative val="0"/>
          <c:cat>
            <c:strRef>
              <c:f>'Incidence rate'!$A$6:$A$15</c:f>
              <c:strCache>
                <c:ptCount val="10"/>
                <c:pt idx="0">
                  <c:v>NSW</c:v>
                </c:pt>
                <c:pt idx="1">
                  <c:v>TAS</c:v>
                </c:pt>
                <c:pt idx="2">
                  <c:v>QLD</c:v>
                </c:pt>
                <c:pt idx="3">
                  <c:v>WA</c:v>
                </c:pt>
                <c:pt idx="4">
                  <c:v>ACT</c:v>
                </c:pt>
                <c:pt idx="5">
                  <c:v>SA</c:v>
                </c:pt>
                <c:pt idx="6">
                  <c:v>VIC</c:v>
                </c:pt>
                <c:pt idx="7">
                  <c:v>NT</c:v>
                </c:pt>
                <c:pt idx="8">
                  <c:v>Aus Gov</c:v>
                </c:pt>
                <c:pt idx="9">
                  <c:v>Aus total</c:v>
                </c:pt>
              </c:strCache>
            </c:strRef>
          </c:cat>
          <c:val>
            <c:numRef>
              <c:f>'Incidence rate'!$D$6:$D$15</c:f>
              <c:numCache>
                <c:formatCode>General</c:formatCode>
                <c:ptCount val="10"/>
                <c:pt idx="0">
                  <c:v>10.5</c:v>
                </c:pt>
                <c:pt idx="1">
                  <c:v>14.5</c:v>
                </c:pt>
                <c:pt idx="2">
                  <c:v>12.6</c:v>
                </c:pt>
                <c:pt idx="3">
                  <c:v>9.3000000000000007</c:v>
                </c:pt>
                <c:pt idx="4">
                  <c:v>10.3</c:v>
                </c:pt>
                <c:pt idx="5">
                  <c:v>8.6</c:v>
                </c:pt>
                <c:pt idx="6">
                  <c:v>6.3</c:v>
                </c:pt>
                <c:pt idx="7">
                  <c:v>9.1999999999999993</c:v>
                </c:pt>
                <c:pt idx="8">
                  <c:v>4.5999999999999996</c:v>
                </c:pt>
                <c:pt idx="9">
                  <c:v>9.4</c:v>
                </c:pt>
              </c:numCache>
            </c:numRef>
          </c:val>
          <c:extLst>
            <c:ext xmlns:c16="http://schemas.microsoft.com/office/drawing/2014/chart" uri="{C3380CC4-5D6E-409C-BE32-E72D297353CC}">
              <c16:uniqueId val="{00000002-F9D2-49CB-81EF-3E4D52C7C807}"/>
            </c:ext>
          </c:extLst>
        </c:ser>
        <c:ser>
          <c:idx val="2"/>
          <c:order val="3"/>
          <c:tx>
            <c:strRef>
              <c:f>'Incidence rate'!$E$5</c:f>
              <c:strCache>
                <c:ptCount val="1"/>
                <c:pt idx="0">
                  <c:v>2019-20</c:v>
                </c:pt>
              </c:strCache>
            </c:strRef>
          </c:tx>
          <c:spPr>
            <a:solidFill>
              <a:srgbClr val="595A5C"/>
            </a:solidFill>
            <a:ln w="6350">
              <a:solidFill>
                <a:sysClr val="windowText" lastClr="000000"/>
              </a:solidFill>
            </a:ln>
          </c:spPr>
          <c:invertIfNegative val="0"/>
          <c:cat>
            <c:strRef>
              <c:f>'Incidence rate'!$A$6:$A$15</c:f>
              <c:strCache>
                <c:ptCount val="10"/>
                <c:pt idx="0">
                  <c:v>NSW</c:v>
                </c:pt>
                <c:pt idx="1">
                  <c:v>TAS</c:v>
                </c:pt>
                <c:pt idx="2">
                  <c:v>QLD</c:v>
                </c:pt>
                <c:pt idx="3">
                  <c:v>WA</c:v>
                </c:pt>
                <c:pt idx="4">
                  <c:v>ACT</c:v>
                </c:pt>
                <c:pt idx="5">
                  <c:v>SA</c:v>
                </c:pt>
                <c:pt idx="6">
                  <c:v>VIC</c:v>
                </c:pt>
                <c:pt idx="7">
                  <c:v>NT</c:v>
                </c:pt>
                <c:pt idx="8">
                  <c:v>Aus Gov</c:v>
                </c:pt>
                <c:pt idx="9">
                  <c:v>Aus total</c:v>
                </c:pt>
              </c:strCache>
            </c:strRef>
          </c:cat>
          <c:val>
            <c:numRef>
              <c:f>'Incidence rate'!$E$6:$E$15</c:f>
              <c:numCache>
                <c:formatCode>General</c:formatCode>
                <c:ptCount val="10"/>
                <c:pt idx="0">
                  <c:v>12.1</c:v>
                </c:pt>
                <c:pt idx="1">
                  <c:v>13.5</c:v>
                </c:pt>
                <c:pt idx="2">
                  <c:v>12.5</c:v>
                </c:pt>
                <c:pt idx="3">
                  <c:v>9.1</c:v>
                </c:pt>
                <c:pt idx="4">
                  <c:v>9.4</c:v>
                </c:pt>
                <c:pt idx="5">
                  <c:v>8.8000000000000007</c:v>
                </c:pt>
                <c:pt idx="6">
                  <c:v>6.3</c:v>
                </c:pt>
                <c:pt idx="7">
                  <c:v>8.6</c:v>
                </c:pt>
                <c:pt idx="8">
                  <c:v>4.5999999999999996</c:v>
                </c:pt>
                <c:pt idx="9">
                  <c:v>9.8000000000000007</c:v>
                </c:pt>
              </c:numCache>
            </c:numRef>
          </c:val>
          <c:extLst>
            <c:ext xmlns:c16="http://schemas.microsoft.com/office/drawing/2014/chart" uri="{C3380CC4-5D6E-409C-BE32-E72D297353CC}">
              <c16:uniqueId val="{00000003-F9D2-49CB-81EF-3E4D52C7C807}"/>
            </c:ext>
          </c:extLst>
        </c:ser>
        <c:ser>
          <c:idx val="3"/>
          <c:order val="4"/>
          <c:tx>
            <c:strRef>
              <c:f>'Incidence rate'!$F$5</c:f>
              <c:strCache>
                <c:ptCount val="1"/>
                <c:pt idx="0">
                  <c:v>2020-21</c:v>
                </c:pt>
              </c:strCache>
            </c:strRef>
          </c:tx>
          <c:spPr>
            <a:solidFill>
              <a:srgbClr val="3C3C3E"/>
            </a:solidFill>
            <a:ln w="6350">
              <a:solidFill>
                <a:sysClr val="windowText" lastClr="000000"/>
              </a:solidFill>
              <a:prstDash val="solid"/>
            </a:ln>
          </c:spPr>
          <c:invertIfNegative val="0"/>
          <c:cat>
            <c:strRef>
              <c:f>'Incidence rate'!$A$6:$A$15</c:f>
              <c:strCache>
                <c:ptCount val="10"/>
                <c:pt idx="0">
                  <c:v>NSW</c:v>
                </c:pt>
                <c:pt idx="1">
                  <c:v>TAS</c:v>
                </c:pt>
                <c:pt idx="2">
                  <c:v>QLD</c:v>
                </c:pt>
                <c:pt idx="3">
                  <c:v>WA</c:v>
                </c:pt>
                <c:pt idx="4">
                  <c:v>ACT</c:v>
                </c:pt>
                <c:pt idx="5">
                  <c:v>SA</c:v>
                </c:pt>
                <c:pt idx="6">
                  <c:v>VIC</c:v>
                </c:pt>
                <c:pt idx="7">
                  <c:v>NT</c:v>
                </c:pt>
                <c:pt idx="8">
                  <c:v>Aus Gov</c:v>
                </c:pt>
                <c:pt idx="9">
                  <c:v>Aus total</c:v>
                </c:pt>
              </c:strCache>
            </c:strRef>
          </c:cat>
          <c:val>
            <c:numRef>
              <c:f>'Incidence rate'!$F$6:$F$15</c:f>
              <c:numCache>
                <c:formatCode>General</c:formatCode>
                <c:ptCount val="10"/>
                <c:pt idx="0">
                  <c:v>13.1</c:v>
                </c:pt>
                <c:pt idx="1">
                  <c:v>14</c:v>
                </c:pt>
                <c:pt idx="2">
                  <c:v>13.6</c:v>
                </c:pt>
                <c:pt idx="3">
                  <c:v>9.8000000000000007</c:v>
                </c:pt>
                <c:pt idx="4">
                  <c:v>9.5</c:v>
                </c:pt>
                <c:pt idx="5">
                  <c:v>8.8000000000000007</c:v>
                </c:pt>
                <c:pt idx="6">
                  <c:v>6.5</c:v>
                </c:pt>
                <c:pt idx="7">
                  <c:v>8.1</c:v>
                </c:pt>
                <c:pt idx="8">
                  <c:v>4.8</c:v>
                </c:pt>
                <c:pt idx="9">
                  <c:v>10.5</c:v>
                </c:pt>
              </c:numCache>
            </c:numRef>
          </c:val>
          <c:extLst>
            <c:ext xmlns:c16="http://schemas.microsoft.com/office/drawing/2014/chart" uri="{C3380CC4-5D6E-409C-BE32-E72D297353CC}">
              <c16:uniqueId val="{00000004-F9D2-49CB-81EF-3E4D52C7C807}"/>
            </c:ext>
          </c:extLst>
        </c:ser>
        <c:ser>
          <c:idx val="4"/>
          <c:order val="5"/>
          <c:tx>
            <c:strRef>
              <c:f>'Incidence rate'!$G$5</c:f>
              <c:strCache>
                <c:ptCount val="1"/>
                <c:pt idx="0">
                  <c:v>2021-22p</c:v>
                </c:pt>
              </c:strCache>
            </c:strRef>
          </c:tx>
          <c:spPr>
            <a:solidFill>
              <a:srgbClr val="C00000"/>
            </a:solidFill>
            <a:ln>
              <a:solidFill>
                <a:sysClr val="windowText" lastClr="000000"/>
              </a:solidFill>
            </a:ln>
          </c:spPr>
          <c:invertIfNegative val="0"/>
          <c:cat>
            <c:strRef>
              <c:f>'Incidence rate'!$A$6:$A$15</c:f>
              <c:strCache>
                <c:ptCount val="10"/>
                <c:pt idx="0">
                  <c:v>NSW</c:v>
                </c:pt>
                <c:pt idx="1">
                  <c:v>TAS</c:v>
                </c:pt>
                <c:pt idx="2">
                  <c:v>QLD</c:v>
                </c:pt>
                <c:pt idx="3">
                  <c:v>WA</c:v>
                </c:pt>
                <c:pt idx="4">
                  <c:v>ACT</c:v>
                </c:pt>
                <c:pt idx="5">
                  <c:v>SA</c:v>
                </c:pt>
                <c:pt idx="6">
                  <c:v>VIC</c:v>
                </c:pt>
                <c:pt idx="7">
                  <c:v>NT</c:v>
                </c:pt>
                <c:pt idx="8">
                  <c:v>Aus Gov</c:v>
                </c:pt>
                <c:pt idx="9">
                  <c:v>Aus total</c:v>
                </c:pt>
              </c:strCache>
            </c:strRef>
          </c:cat>
          <c:val>
            <c:numRef>
              <c:f>'Incidence rate'!$G$6:$G$15</c:f>
              <c:numCache>
                <c:formatCode>General</c:formatCode>
                <c:ptCount val="10"/>
                <c:pt idx="0">
                  <c:v>14.5</c:v>
                </c:pt>
                <c:pt idx="1">
                  <c:v>13.8</c:v>
                </c:pt>
                <c:pt idx="2">
                  <c:v>12.6</c:v>
                </c:pt>
                <c:pt idx="3">
                  <c:v>8.6999999999999993</c:v>
                </c:pt>
                <c:pt idx="4">
                  <c:v>8.1999999999999993</c:v>
                </c:pt>
                <c:pt idx="5">
                  <c:v>7.5</c:v>
                </c:pt>
                <c:pt idx="6">
                  <c:v>6.3</c:v>
                </c:pt>
                <c:pt idx="7">
                  <c:v>5.7</c:v>
                </c:pt>
                <c:pt idx="8">
                  <c:v>4.2</c:v>
                </c:pt>
                <c:pt idx="9">
                  <c:v>10.3</c:v>
                </c:pt>
              </c:numCache>
            </c:numRef>
          </c:val>
          <c:extLst>
            <c:ext xmlns:c16="http://schemas.microsoft.com/office/drawing/2014/chart" uri="{C3380CC4-5D6E-409C-BE32-E72D297353CC}">
              <c16:uniqueId val="{00000005-F9D2-49CB-81EF-3E4D52C7C807}"/>
            </c:ext>
          </c:extLst>
        </c:ser>
        <c:dLbls>
          <c:showLegendKey val="0"/>
          <c:showVal val="0"/>
          <c:showCatName val="0"/>
          <c:showSerName val="0"/>
          <c:showPercent val="0"/>
          <c:showBubbleSize val="0"/>
        </c:dLbls>
        <c:gapWidth val="150"/>
        <c:axId val="55814016"/>
        <c:axId val="55843072"/>
      </c:barChart>
      <c:lineChart>
        <c:grouping val="standard"/>
        <c:varyColors val="0"/>
        <c:ser>
          <c:idx val="5"/>
          <c:order val="6"/>
          <c:tx>
            <c:strRef>
              <c:f>'Incidence rate'!$H$5</c:f>
              <c:strCache>
                <c:ptCount val="1"/>
                <c:pt idx="0">
                  <c:v>2021-22p Aus</c:v>
                </c:pt>
              </c:strCache>
            </c:strRef>
          </c:tx>
          <c:spPr>
            <a:ln>
              <a:solidFill>
                <a:srgbClr val="C10A27"/>
              </a:solidFill>
            </a:ln>
          </c:spPr>
          <c:marker>
            <c:symbol val="none"/>
          </c:marker>
          <c:cat>
            <c:strRef>
              <c:f>'Incidence rate'!$A$6:$A$15</c:f>
              <c:strCache>
                <c:ptCount val="10"/>
                <c:pt idx="0">
                  <c:v>NSW</c:v>
                </c:pt>
                <c:pt idx="1">
                  <c:v>TAS</c:v>
                </c:pt>
                <c:pt idx="2">
                  <c:v>QLD</c:v>
                </c:pt>
                <c:pt idx="3">
                  <c:v>WA</c:v>
                </c:pt>
                <c:pt idx="4">
                  <c:v>ACT</c:v>
                </c:pt>
                <c:pt idx="5">
                  <c:v>SA</c:v>
                </c:pt>
                <c:pt idx="6">
                  <c:v>VIC</c:v>
                </c:pt>
                <c:pt idx="7">
                  <c:v>NT</c:v>
                </c:pt>
                <c:pt idx="8">
                  <c:v>Aus Gov</c:v>
                </c:pt>
                <c:pt idx="9">
                  <c:v>Aus total</c:v>
                </c:pt>
              </c:strCache>
            </c:strRef>
          </c:cat>
          <c:val>
            <c:numRef>
              <c:f>'Incidence rate'!$H$6:$H$15</c:f>
              <c:numCache>
                <c:formatCode>General</c:formatCode>
                <c:ptCount val="10"/>
                <c:pt idx="0">
                  <c:v>10.3</c:v>
                </c:pt>
                <c:pt idx="1">
                  <c:v>10.3</c:v>
                </c:pt>
                <c:pt idx="2">
                  <c:v>10.3</c:v>
                </c:pt>
                <c:pt idx="3">
                  <c:v>10.3</c:v>
                </c:pt>
                <c:pt idx="4">
                  <c:v>10.3</c:v>
                </c:pt>
                <c:pt idx="5">
                  <c:v>10.3</c:v>
                </c:pt>
                <c:pt idx="6">
                  <c:v>10.3</c:v>
                </c:pt>
                <c:pt idx="7">
                  <c:v>10.3</c:v>
                </c:pt>
                <c:pt idx="8">
                  <c:v>10.3</c:v>
                </c:pt>
                <c:pt idx="9">
                  <c:v>10.3</c:v>
                </c:pt>
              </c:numCache>
            </c:numRef>
          </c:val>
          <c:smooth val="0"/>
          <c:extLst>
            <c:ext xmlns:c16="http://schemas.microsoft.com/office/drawing/2014/chart" uri="{C3380CC4-5D6E-409C-BE32-E72D297353CC}">
              <c16:uniqueId val="{00000006-F9D2-49CB-81EF-3E4D52C7C807}"/>
            </c:ext>
          </c:extLst>
        </c:ser>
        <c:dLbls>
          <c:showLegendKey val="0"/>
          <c:showVal val="0"/>
          <c:showCatName val="0"/>
          <c:showSerName val="0"/>
          <c:showPercent val="0"/>
          <c:showBubbleSize val="0"/>
        </c:dLbls>
        <c:marker val="1"/>
        <c:smooth val="0"/>
        <c:axId val="55814016"/>
        <c:axId val="55843072"/>
      </c:lineChart>
      <c:catAx>
        <c:axId val="558140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55843072"/>
        <c:crosses val="autoZero"/>
        <c:auto val="1"/>
        <c:lblAlgn val="ctr"/>
        <c:lblOffset val="100"/>
        <c:tickMarkSkip val="1"/>
        <c:noMultiLvlLbl val="0"/>
      </c:catAx>
      <c:valAx>
        <c:axId val="55843072"/>
        <c:scaling>
          <c:orientation val="minMax"/>
          <c:max val="20"/>
          <c:min val="0"/>
        </c:scaling>
        <c:delete val="0"/>
        <c:axPos val="l"/>
        <c:majorGridlines>
          <c:spPr>
            <a:ln w="3175">
              <a:solidFill>
                <a:srgbClr val="969696"/>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Claims per 1000 employees</a:t>
                </a:r>
              </a:p>
            </c:rich>
          </c:tx>
          <c:layout>
            <c:manualLayout>
              <c:xMode val="edge"/>
              <c:yMode val="edge"/>
              <c:x val="7.6871900148110434E-2"/>
              <c:y val="4.6974520566755697E-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5814016"/>
        <c:crosses val="autoZero"/>
        <c:crossBetween val="between"/>
        <c:majorUnit val="5"/>
      </c:valAx>
      <c:dTable>
        <c:showHorzBorder val="0"/>
        <c:showVertBorder val="0"/>
        <c:showOutline val="0"/>
        <c:showKeys val="1"/>
        <c:spPr>
          <a:ln w="3175">
            <a:solidFill>
              <a:srgbClr val="000000"/>
            </a:solidFill>
            <a:prstDash val="solid"/>
          </a:ln>
        </c:spPr>
        <c:txPr>
          <a:bodyPr/>
          <a:lstStyle/>
          <a:p>
            <a:pPr rtl="0">
              <a:defRPr sz="800" b="0" i="0" u="none" strike="noStrike" baseline="0">
                <a:solidFill>
                  <a:srgbClr val="000000"/>
                </a:solidFill>
                <a:latin typeface="Arial"/>
                <a:ea typeface="Arial"/>
                <a:cs typeface="Arial"/>
              </a:defRPr>
            </a:pPr>
            <a:endParaRPr lang="en-US"/>
          </a:p>
        </c:txPr>
      </c:dTable>
      <c:spPr>
        <a:noFill/>
        <a:ln w="12700">
          <a:solidFill>
            <a:srgbClr val="808080"/>
          </a:solidFill>
          <a:prstDash val="solid"/>
        </a:ln>
      </c:spPr>
    </c:plotArea>
    <c:plotVisOnly val="1"/>
    <c:dispBlanksAs val="gap"/>
    <c:showDLblsOverMax val="0"/>
  </c:chart>
  <c:spPr>
    <a:solidFill>
      <a:srgbClr val="FFFFFF"/>
    </a:solidFill>
    <a:ln w="9525">
      <a:solidFill>
        <a:sysClr val="window" lastClr="FFFFFF"/>
      </a:solidFill>
    </a:ln>
  </c:spPr>
  <c:txPr>
    <a:bodyPr/>
    <a:lstStyle/>
    <a:p>
      <a:pPr>
        <a:defRPr sz="12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Mechanism!$B$140</c:f>
              <c:strCache>
                <c:ptCount val="1"/>
                <c:pt idx="0">
                  <c:v>2016-17</c:v>
                </c:pt>
              </c:strCache>
            </c:strRef>
          </c:tx>
          <c:spPr>
            <a:solidFill>
              <a:sysClr val="window" lastClr="FFFFFF"/>
            </a:solidFill>
            <a:ln>
              <a:solidFill>
                <a:sysClr val="windowText" lastClr="000000"/>
              </a:solidFill>
            </a:ln>
          </c:spPr>
          <c:invertIfNegative val="0"/>
          <c:cat>
            <c:strRef>
              <c:f>Mechanism!$A$141:$A$151</c:f>
              <c:strCache>
                <c:ptCount val="11"/>
                <c:pt idx="0">
                  <c:v>VIC</c:v>
                </c:pt>
                <c:pt idx="1">
                  <c:v>TAS</c:v>
                </c:pt>
                <c:pt idx="2">
                  <c:v>Aus Gov</c:v>
                </c:pt>
                <c:pt idx="3">
                  <c:v>ACT</c:v>
                </c:pt>
                <c:pt idx="4">
                  <c:v>SA</c:v>
                </c:pt>
                <c:pt idx="5">
                  <c:v>NSW</c:v>
                </c:pt>
                <c:pt idx="6">
                  <c:v>QLD</c:v>
                </c:pt>
                <c:pt idx="7">
                  <c:v>NT</c:v>
                </c:pt>
                <c:pt idx="8">
                  <c:v>WA</c:v>
                </c:pt>
                <c:pt idx="9">
                  <c:v>Seacare</c:v>
                </c:pt>
                <c:pt idx="10">
                  <c:v>Aus total</c:v>
                </c:pt>
              </c:strCache>
            </c:strRef>
          </c:cat>
          <c:val>
            <c:numRef>
              <c:f>Mechanism!$B$141:$B$151</c:f>
              <c:numCache>
                <c:formatCode>0.0</c:formatCode>
                <c:ptCount val="11"/>
                <c:pt idx="0">
                  <c:v>10.684872128305157</c:v>
                </c:pt>
                <c:pt idx="1">
                  <c:v>9.120521172638437</c:v>
                </c:pt>
                <c:pt idx="2">
                  <c:v>11.791128579449747</c:v>
                </c:pt>
                <c:pt idx="3">
                  <c:v>7.0621468926553677</c:v>
                </c:pt>
                <c:pt idx="4">
                  <c:v>9.6156912773082439</c:v>
                </c:pt>
                <c:pt idx="5">
                  <c:v>7.7828495966468587</c:v>
                </c:pt>
                <c:pt idx="6">
                  <c:v>3.5624187753229877</c:v>
                </c:pt>
                <c:pt idx="7">
                  <c:v>4.1146216017634094</c:v>
                </c:pt>
                <c:pt idx="8">
                  <c:v>2.8362623977727508</c:v>
                </c:pt>
                <c:pt idx="9">
                  <c:v>0</c:v>
                </c:pt>
                <c:pt idx="10">
                  <c:v>6.8501633940225419</c:v>
                </c:pt>
              </c:numCache>
            </c:numRef>
          </c:val>
          <c:extLst>
            <c:ext xmlns:c16="http://schemas.microsoft.com/office/drawing/2014/chart" uri="{C3380CC4-5D6E-409C-BE32-E72D297353CC}">
              <c16:uniqueId val="{00000000-EB7B-478A-9E70-24437B35FA4A}"/>
            </c:ext>
          </c:extLst>
        </c:ser>
        <c:ser>
          <c:idx val="1"/>
          <c:order val="1"/>
          <c:tx>
            <c:strRef>
              <c:f>Mechanism!$C$140</c:f>
              <c:strCache>
                <c:ptCount val="1"/>
                <c:pt idx="0">
                  <c:v>2017-18</c:v>
                </c:pt>
              </c:strCache>
            </c:strRef>
          </c:tx>
          <c:spPr>
            <a:solidFill>
              <a:srgbClr val="E7E6E6">
                <a:lumMod val="90000"/>
              </a:srgbClr>
            </a:solidFill>
            <a:ln>
              <a:solidFill>
                <a:sysClr val="windowText" lastClr="000000"/>
              </a:solidFill>
            </a:ln>
          </c:spPr>
          <c:invertIfNegative val="0"/>
          <c:cat>
            <c:strRef>
              <c:f>Mechanism!$A$141:$A$151</c:f>
              <c:strCache>
                <c:ptCount val="11"/>
                <c:pt idx="0">
                  <c:v>VIC</c:v>
                </c:pt>
                <c:pt idx="1">
                  <c:v>TAS</c:v>
                </c:pt>
                <c:pt idx="2">
                  <c:v>Aus Gov</c:v>
                </c:pt>
                <c:pt idx="3">
                  <c:v>ACT</c:v>
                </c:pt>
                <c:pt idx="4">
                  <c:v>SA</c:v>
                </c:pt>
                <c:pt idx="5">
                  <c:v>NSW</c:v>
                </c:pt>
                <c:pt idx="6">
                  <c:v>QLD</c:v>
                </c:pt>
                <c:pt idx="7">
                  <c:v>NT</c:v>
                </c:pt>
                <c:pt idx="8">
                  <c:v>WA</c:v>
                </c:pt>
                <c:pt idx="9">
                  <c:v>Seacare</c:v>
                </c:pt>
                <c:pt idx="10">
                  <c:v>Aus total</c:v>
                </c:pt>
              </c:strCache>
            </c:strRef>
          </c:cat>
          <c:val>
            <c:numRef>
              <c:f>Mechanism!$C$141:$C$151</c:f>
              <c:numCache>
                <c:formatCode>0.0</c:formatCode>
                <c:ptCount val="11"/>
                <c:pt idx="0">
                  <c:v>10.906575867205788</c:v>
                </c:pt>
                <c:pt idx="1">
                  <c:v>8.7196467991169975</c:v>
                </c:pt>
                <c:pt idx="2">
                  <c:v>14.023732470334412</c:v>
                </c:pt>
                <c:pt idx="3">
                  <c:v>7.166853303471445</c:v>
                </c:pt>
                <c:pt idx="4">
                  <c:v>8.6390344608543757</c:v>
                </c:pt>
                <c:pt idx="5">
                  <c:v>9.7689768976897682</c:v>
                </c:pt>
                <c:pt idx="6">
                  <c:v>3.4720939681601592</c:v>
                </c:pt>
                <c:pt idx="7">
                  <c:v>3.4134988363072147</c:v>
                </c:pt>
                <c:pt idx="8">
                  <c:v>3.086789226165028</c:v>
                </c:pt>
                <c:pt idx="9">
                  <c:v>0</c:v>
                </c:pt>
                <c:pt idx="10">
                  <c:v>7.5211648543005865</c:v>
                </c:pt>
              </c:numCache>
            </c:numRef>
          </c:val>
          <c:extLst>
            <c:ext xmlns:c16="http://schemas.microsoft.com/office/drawing/2014/chart" uri="{C3380CC4-5D6E-409C-BE32-E72D297353CC}">
              <c16:uniqueId val="{00000001-EB7B-478A-9E70-24437B35FA4A}"/>
            </c:ext>
          </c:extLst>
        </c:ser>
        <c:ser>
          <c:idx val="2"/>
          <c:order val="2"/>
          <c:tx>
            <c:strRef>
              <c:f>Mechanism!$D$140</c:f>
              <c:strCache>
                <c:ptCount val="1"/>
                <c:pt idx="0">
                  <c:v>2018-19</c:v>
                </c:pt>
              </c:strCache>
            </c:strRef>
          </c:tx>
          <c:spPr>
            <a:solidFill>
              <a:srgbClr val="E7E6E6">
                <a:lumMod val="75000"/>
              </a:srgbClr>
            </a:solidFill>
            <a:ln>
              <a:solidFill>
                <a:sysClr val="windowText" lastClr="000000"/>
              </a:solidFill>
            </a:ln>
          </c:spPr>
          <c:invertIfNegative val="0"/>
          <c:cat>
            <c:strRef>
              <c:f>Mechanism!$A$141:$A$151</c:f>
              <c:strCache>
                <c:ptCount val="11"/>
                <c:pt idx="0">
                  <c:v>VIC</c:v>
                </c:pt>
                <c:pt idx="1">
                  <c:v>TAS</c:v>
                </c:pt>
                <c:pt idx="2">
                  <c:v>Aus Gov</c:v>
                </c:pt>
                <c:pt idx="3">
                  <c:v>ACT</c:v>
                </c:pt>
                <c:pt idx="4">
                  <c:v>SA</c:v>
                </c:pt>
                <c:pt idx="5">
                  <c:v>NSW</c:v>
                </c:pt>
                <c:pt idx="6">
                  <c:v>QLD</c:v>
                </c:pt>
                <c:pt idx="7">
                  <c:v>NT</c:v>
                </c:pt>
                <c:pt idx="8">
                  <c:v>WA</c:v>
                </c:pt>
                <c:pt idx="9">
                  <c:v>Seacare</c:v>
                </c:pt>
                <c:pt idx="10">
                  <c:v>Aus total</c:v>
                </c:pt>
              </c:strCache>
            </c:strRef>
          </c:cat>
          <c:val>
            <c:numRef>
              <c:f>Mechanism!$D$141:$D$151</c:f>
              <c:numCache>
                <c:formatCode>0.0</c:formatCode>
                <c:ptCount val="11"/>
                <c:pt idx="0">
                  <c:v>12.650449443908386</c:v>
                </c:pt>
                <c:pt idx="1">
                  <c:v>9.6469872185027388</c:v>
                </c:pt>
                <c:pt idx="2">
                  <c:v>13.315789473684211</c:v>
                </c:pt>
                <c:pt idx="3">
                  <c:v>7.3495370370370363</c:v>
                </c:pt>
                <c:pt idx="4">
                  <c:v>11.6808698207464</c:v>
                </c:pt>
                <c:pt idx="5">
                  <c:v>10.977435975532373</c:v>
                </c:pt>
                <c:pt idx="6">
                  <c:v>4.3126684636118604</c:v>
                </c:pt>
                <c:pt idx="7">
                  <c:v>5.027932960893855</c:v>
                </c:pt>
                <c:pt idx="8">
                  <c:v>3.60482911069546</c:v>
                </c:pt>
                <c:pt idx="9">
                  <c:v>0</c:v>
                </c:pt>
                <c:pt idx="10">
                  <c:v>8.7473331301432484</c:v>
                </c:pt>
              </c:numCache>
            </c:numRef>
          </c:val>
          <c:extLst>
            <c:ext xmlns:c16="http://schemas.microsoft.com/office/drawing/2014/chart" uri="{C3380CC4-5D6E-409C-BE32-E72D297353CC}">
              <c16:uniqueId val="{00000002-EB7B-478A-9E70-24437B35FA4A}"/>
            </c:ext>
          </c:extLst>
        </c:ser>
        <c:ser>
          <c:idx val="3"/>
          <c:order val="3"/>
          <c:tx>
            <c:strRef>
              <c:f>Mechanism!$E$140</c:f>
              <c:strCache>
                <c:ptCount val="1"/>
                <c:pt idx="0">
                  <c:v>2019-20</c:v>
                </c:pt>
              </c:strCache>
            </c:strRef>
          </c:tx>
          <c:spPr>
            <a:solidFill>
              <a:srgbClr val="E7E6E6">
                <a:lumMod val="50000"/>
              </a:srgbClr>
            </a:solidFill>
            <a:ln>
              <a:solidFill>
                <a:sysClr val="windowText" lastClr="000000"/>
              </a:solidFill>
            </a:ln>
          </c:spPr>
          <c:invertIfNegative val="0"/>
          <c:cat>
            <c:strRef>
              <c:f>Mechanism!$A$141:$A$151</c:f>
              <c:strCache>
                <c:ptCount val="11"/>
                <c:pt idx="0">
                  <c:v>VIC</c:v>
                </c:pt>
                <c:pt idx="1">
                  <c:v>TAS</c:v>
                </c:pt>
                <c:pt idx="2">
                  <c:v>Aus Gov</c:v>
                </c:pt>
                <c:pt idx="3">
                  <c:v>ACT</c:v>
                </c:pt>
                <c:pt idx="4">
                  <c:v>SA</c:v>
                </c:pt>
                <c:pt idx="5">
                  <c:v>NSW</c:v>
                </c:pt>
                <c:pt idx="6">
                  <c:v>QLD</c:v>
                </c:pt>
                <c:pt idx="7">
                  <c:v>NT</c:v>
                </c:pt>
                <c:pt idx="8">
                  <c:v>WA</c:v>
                </c:pt>
                <c:pt idx="9">
                  <c:v>Seacare</c:v>
                </c:pt>
                <c:pt idx="10">
                  <c:v>Aus total</c:v>
                </c:pt>
              </c:strCache>
            </c:strRef>
          </c:cat>
          <c:val>
            <c:numRef>
              <c:f>Mechanism!$E$141:$E$151</c:f>
              <c:numCache>
                <c:formatCode>0.0</c:formatCode>
                <c:ptCount val="11"/>
                <c:pt idx="0">
                  <c:v>13.788062109296229</c:v>
                </c:pt>
                <c:pt idx="1">
                  <c:v>9.5356037151702786</c:v>
                </c:pt>
                <c:pt idx="2">
                  <c:v>13.063291139240507</c:v>
                </c:pt>
                <c:pt idx="3">
                  <c:v>8.7434858135495084</c:v>
                </c:pt>
                <c:pt idx="4">
                  <c:v>12.237658882648537</c:v>
                </c:pt>
                <c:pt idx="5">
                  <c:v>9.9224665196334794</c:v>
                </c:pt>
                <c:pt idx="6">
                  <c:v>5.1280288709400237</c:v>
                </c:pt>
                <c:pt idx="7">
                  <c:v>5.2493438320209975</c:v>
                </c:pt>
                <c:pt idx="8">
                  <c:v>3.4988713318284423</c:v>
                </c:pt>
                <c:pt idx="9">
                  <c:v>0</c:v>
                </c:pt>
                <c:pt idx="10">
                  <c:v>8.8822982381179774</c:v>
                </c:pt>
              </c:numCache>
            </c:numRef>
          </c:val>
          <c:extLst>
            <c:ext xmlns:c16="http://schemas.microsoft.com/office/drawing/2014/chart" uri="{C3380CC4-5D6E-409C-BE32-E72D297353CC}">
              <c16:uniqueId val="{00000003-EB7B-478A-9E70-24437B35FA4A}"/>
            </c:ext>
          </c:extLst>
        </c:ser>
        <c:ser>
          <c:idx val="4"/>
          <c:order val="4"/>
          <c:tx>
            <c:strRef>
              <c:f>Mechanism!$F$140</c:f>
              <c:strCache>
                <c:ptCount val="1"/>
                <c:pt idx="0">
                  <c:v>2020-21</c:v>
                </c:pt>
              </c:strCache>
            </c:strRef>
          </c:tx>
          <c:spPr>
            <a:solidFill>
              <a:srgbClr val="E7E6E6">
                <a:lumMod val="25000"/>
              </a:srgbClr>
            </a:solidFill>
            <a:ln>
              <a:solidFill>
                <a:sysClr val="windowText" lastClr="000000"/>
              </a:solidFill>
            </a:ln>
          </c:spPr>
          <c:invertIfNegative val="0"/>
          <c:cat>
            <c:strRef>
              <c:f>Mechanism!$A$141:$A$151</c:f>
              <c:strCache>
                <c:ptCount val="11"/>
                <c:pt idx="0">
                  <c:v>VIC</c:v>
                </c:pt>
                <c:pt idx="1">
                  <c:v>TAS</c:v>
                </c:pt>
                <c:pt idx="2">
                  <c:v>Aus Gov</c:v>
                </c:pt>
                <c:pt idx="3">
                  <c:v>ACT</c:v>
                </c:pt>
                <c:pt idx="4">
                  <c:v>SA</c:v>
                </c:pt>
                <c:pt idx="5">
                  <c:v>NSW</c:v>
                </c:pt>
                <c:pt idx="6">
                  <c:v>QLD</c:v>
                </c:pt>
                <c:pt idx="7">
                  <c:v>NT</c:v>
                </c:pt>
                <c:pt idx="8">
                  <c:v>WA</c:v>
                </c:pt>
                <c:pt idx="9">
                  <c:v>Seacare</c:v>
                </c:pt>
                <c:pt idx="10">
                  <c:v>Aus total</c:v>
                </c:pt>
              </c:strCache>
            </c:strRef>
          </c:cat>
          <c:val>
            <c:numRef>
              <c:f>Mechanism!$F$141:$F$151</c:f>
              <c:numCache>
                <c:formatCode>0.0</c:formatCode>
                <c:ptCount val="11"/>
                <c:pt idx="0">
                  <c:v>13.140125190990194</c:v>
                </c:pt>
                <c:pt idx="1">
                  <c:v>9.1252542865446102</c:v>
                </c:pt>
                <c:pt idx="2">
                  <c:v>12.458862247296661</c:v>
                </c:pt>
                <c:pt idx="3">
                  <c:v>9.6525096525096519</c:v>
                </c:pt>
                <c:pt idx="4">
                  <c:v>11.144321093082835</c:v>
                </c:pt>
                <c:pt idx="5">
                  <c:v>10.495206666805906</c:v>
                </c:pt>
                <c:pt idx="6">
                  <c:v>5.435181784796181</c:v>
                </c:pt>
                <c:pt idx="7">
                  <c:v>5.5191768007483626</c:v>
                </c:pt>
                <c:pt idx="8">
                  <c:v>3.38118773044638</c:v>
                </c:pt>
                <c:pt idx="9">
                  <c:v>6.5789473684210522</c:v>
                </c:pt>
                <c:pt idx="10">
                  <c:v>8.9040830707045675</c:v>
                </c:pt>
              </c:numCache>
            </c:numRef>
          </c:val>
          <c:extLst>
            <c:ext xmlns:c16="http://schemas.microsoft.com/office/drawing/2014/chart" uri="{C3380CC4-5D6E-409C-BE32-E72D297353CC}">
              <c16:uniqueId val="{00000004-EB7B-478A-9E70-24437B35FA4A}"/>
            </c:ext>
          </c:extLst>
        </c:ser>
        <c:ser>
          <c:idx val="5"/>
          <c:order val="5"/>
          <c:tx>
            <c:strRef>
              <c:f>Mechanism!$G$140</c:f>
              <c:strCache>
                <c:ptCount val="1"/>
                <c:pt idx="0">
                  <c:v>2021-22p</c:v>
                </c:pt>
              </c:strCache>
            </c:strRef>
          </c:tx>
          <c:spPr>
            <a:solidFill>
              <a:srgbClr val="C00000"/>
            </a:solidFill>
            <a:ln>
              <a:solidFill>
                <a:sysClr val="windowText" lastClr="000000"/>
              </a:solidFill>
            </a:ln>
          </c:spPr>
          <c:invertIfNegative val="0"/>
          <c:cat>
            <c:strRef>
              <c:f>Mechanism!$A$141:$A$151</c:f>
              <c:strCache>
                <c:ptCount val="11"/>
                <c:pt idx="0">
                  <c:v>VIC</c:v>
                </c:pt>
                <c:pt idx="1">
                  <c:v>TAS</c:v>
                </c:pt>
                <c:pt idx="2">
                  <c:v>Aus Gov</c:v>
                </c:pt>
                <c:pt idx="3">
                  <c:v>ACT</c:v>
                </c:pt>
                <c:pt idx="4">
                  <c:v>SA</c:v>
                </c:pt>
                <c:pt idx="5">
                  <c:v>NSW</c:v>
                </c:pt>
                <c:pt idx="6">
                  <c:v>QLD</c:v>
                </c:pt>
                <c:pt idx="7">
                  <c:v>NT</c:v>
                </c:pt>
                <c:pt idx="8">
                  <c:v>WA</c:v>
                </c:pt>
                <c:pt idx="9">
                  <c:v>Seacare</c:v>
                </c:pt>
                <c:pt idx="10">
                  <c:v>Aus total</c:v>
                </c:pt>
              </c:strCache>
            </c:strRef>
          </c:cat>
          <c:val>
            <c:numRef>
              <c:f>Mechanism!$G$141:$G$151</c:f>
              <c:numCache>
                <c:formatCode>0.0</c:formatCode>
                <c:ptCount val="11"/>
                <c:pt idx="0">
                  <c:v>14.438637048949643</c:v>
                </c:pt>
                <c:pt idx="1">
                  <c:v>12.17086015213575</c:v>
                </c:pt>
                <c:pt idx="2">
                  <c:v>11.409736308316431</c:v>
                </c:pt>
                <c:pt idx="3">
                  <c:v>10.554442217768871</c:v>
                </c:pt>
                <c:pt idx="4">
                  <c:v>9.4308128859956604</c:v>
                </c:pt>
                <c:pt idx="5">
                  <c:v>8.7429460984627365</c:v>
                </c:pt>
                <c:pt idx="6">
                  <c:v>5.672525915910116</c:v>
                </c:pt>
                <c:pt idx="7">
                  <c:v>5.3835800807537009</c:v>
                </c:pt>
                <c:pt idx="8">
                  <c:v>3.2723855092276146</c:v>
                </c:pt>
                <c:pt idx="9">
                  <c:v>0</c:v>
                </c:pt>
                <c:pt idx="10">
                  <c:v>8.5459782710792442</c:v>
                </c:pt>
              </c:numCache>
            </c:numRef>
          </c:val>
          <c:extLst>
            <c:ext xmlns:c16="http://schemas.microsoft.com/office/drawing/2014/chart" uri="{C3380CC4-5D6E-409C-BE32-E72D297353CC}">
              <c16:uniqueId val="{00000005-EB7B-478A-9E70-24437B35FA4A}"/>
            </c:ext>
          </c:extLst>
        </c:ser>
        <c:dLbls>
          <c:showLegendKey val="0"/>
          <c:showVal val="0"/>
          <c:showCatName val="0"/>
          <c:showSerName val="0"/>
          <c:showPercent val="0"/>
          <c:showBubbleSize val="0"/>
        </c:dLbls>
        <c:gapWidth val="150"/>
        <c:axId val="478149632"/>
        <c:axId val="478176000"/>
      </c:barChart>
      <c:lineChart>
        <c:grouping val="standard"/>
        <c:varyColors val="0"/>
        <c:ser>
          <c:idx val="6"/>
          <c:order val="6"/>
          <c:tx>
            <c:strRef>
              <c:f>Mechanism!$H$140</c:f>
              <c:strCache>
                <c:ptCount val="1"/>
                <c:pt idx="0">
                  <c:v>2021-22p Aus</c:v>
                </c:pt>
              </c:strCache>
            </c:strRef>
          </c:tx>
          <c:spPr>
            <a:ln>
              <a:solidFill>
                <a:srgbClr val="C00000"/>
              </a:solidFill>
            </a:ln>
          </c:spPr>
          <c:marker>
            <c:symbol val="none"/>
          </c:marker>
          <c:cat>
            <c:strRef>
              <c:f>Mechanism!$A$141:$A$151</c:f>
              <c:strCache>
                <c:ptCount val="11"/>
                <c:pt idx="0">
                  <c:v>VIC</c:v>
                </c:pt>
                <c:pt idx="1">
                  <c:v>TAS</c:v>
                </c:pt>
                <c:pt idx="2">
                  <c:v>Aus Gov</c:v>
                </c:pt>
                <c:pt idx="3">
                  <c:v>ACT</c:v>
                </c:pt>
                <c:pt idx="4">
                  <c:v>SA</c:v>
                </c:pt>
                <c:pt idx="5">
                  <c:v>NSW</c:v>
                </c:pt>
                <c:pt idx="6">
                  <c:v>QLD</c:v>
                </c:pt>
                <c:pt idx="7">
                  <c:v>NT</c:v>
                </c:pt>
                <c:pt idx="8">
                  <c:v>WA</c:v>
                </c:pt>
                <c:pt idx="9">
                  <c:v>Seacare</c:v>
                </c:pt>
                <c:pt idx="10">
                  <c:v>Aus total</c:v>
                </c:pt>
              </c:strCache>
            </c:strRef>
          </c:cat>
          <c:val>
            <c:numRef>
              <c:f>Mechanism!$H$141:$H$151</c:f>
              <c:numCache>
                <c:formatCode>0.0</c:formatCode>
                <c:ptCount val="11"/>
                <c:pt idx="0">
                  <c:v>8.5322082508608244</c:v>
                </c:pt>
                <c:pt idx="1">
                  <c:v>8.5322082508608244</c:v>
                </c:pt>
                <c:pt idx="2">
                  <c:v>8.5322082508608244</c:v>
                </c:pt>
                <c:pt idx="3">
                  <c:v>8.5322082508608244</c:v>
                </c:pt>
                <c:pt idx="4">
                  <c:v>8.5322082508608244</c:v>
                </c:pt>
                <c:pt idx="5">
                  <c:v>8.5322082508608244</c:v>
                </c:pt>
                <c:pt idx="6">
                  <c:v>8.5322082508608244</c:v>
                </c:pt>
                <c:pt idx="7">
                  <c:v>8.5322082508608244</c:v>
                </c:pt>
                <c:pt idx="8">
                  <c:v>8.5322082508608244</c:v>
                </c:pt>
                <c:pt idx="9">
                  <c:v>8.5322082508608244</c:v>
                </c:pt>
              </c:numCache>
            </c:numRef>
          </c:val>
          <c:smooth val="0"/>
          <c:extLst>
            <c:ext xmlns:c16="http://schemas.microsoft.com/office/drawing/2014/chart" uri="{C3380CC4-5D6E-409C-BE32-E72D297353CC}">
              <c16:uniqueId val="{00000006-EB7B-478A-9E70-24437B35FA4A}"/>
            </c:ext>
          </c:extLst>
        </c:ser>
        <c:dLbls>
          <c:showLegendKey val="0"/>
          <c:showVal val="0"/>
          <c:showCatName val="0"/>
          <c:showSerName val="0"/>
          <c:showPercent val="0"/>
          <c:showBubbleSize val="0"/>
        </c:dLbls>
        <c:marker val="1"/>
        <c:smooth val="0"/>
        <c:axId val="478149632"/>
        <c:axId val="478176000"/>
      </c:lineChart>
      <c:catAx>
        <c:axId val="478149632"/>
        <c:scaling>
          <c:orientation val="minMax"/>
        </c:scaling>
        <c:delete val="0"/>
        <c:axPos val="b"/>
        <c:numFmt formatCode="General" sourceLinked="0"/>
        <c:majorTickMark val="out"/>
        <c:minorTickMark val="none"/>
        <c:tickLblPos val="nextTo"/>
        <c:crossAx val="478176000"/>
        <c:crosses val="autoZero"/>
        <c:auto val="1"/>
        <c:lblAlgn val="ctr"/>
        <c:lblOffset val="100"/>
        <c:noMultiLvlLbl val="0"/>
      </c:catAx>
      <c:valAx>
        <c:axId val="478176000"/>
        <c:scaling>
          <c:orientation val="minMax"/>
        </c:scaling>
        <c:delete val="0"/>
        <c:axPos val="l"/>
        <c:majorGridlines/>
        <c:title>
          <c:tx>
            <c:strRef>
              <c:f>'[1](b) Falls, Trips'!$L$12</c:f>
              <c:strCache>
                <c:ptCount val="1"/>
                <c:pt idx="0">
                  <c:v>Proportion of Claims (%)</c:v>
                </c:pt>
              </c:strCache>
            </c:strRef>
          </c:tx>
          <c:layout>
            <c:manualLayout>
              <c:xMode val="edge"/>
              <c:yMode val="edge"/>
              <c:x val="3.3333333333333333E-2"/>
              <c:y val="0.24327476426557795"/>
            </c:manualLayout>
          </c:layout>
          <c:overlay val="0"/>
          <c:txPr>
            <a:bodyPr rot="-5400000" vert="horz"/>
            <a:lstStyle/>
            <a:p>
              <a:pPr>
                <a:defRPr b="0"/>
              </a:pPr>
              <a:endParaRPr lang="en-US"/>
            </a:p>
          </c:txPr>
        </c:title>
        <c:numFmt formatCode="0.0" sourceLinked="1"/>
        <c:majorTickMark val="out"/>
        <c:minorTickMark val="none"/>
        <c:tickLblPos val="nextTo"/>
        <c:crossAx val="478149632"/>
        <c:crosses val="autoZero"/>
        <c:crossBetween val="between"/>
      </c:valAx>
      <c:dTable>
        <c:showHorzBorder val="0"/>
        <c:showVertBorder val="0"/>
        <c:showOutline val="0"/>
        <c:showKeys val="1"/>
      </c:dTable>
      <c:spPr>
        <a:ln>
          <a:solidFill>
            <a:schemeClr val="bg1">
              <a:lumMod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Mechanism!$B$170</c:f>
              <c:strCache>
                <c:ptCount val="1"/>
                <c:pt idx="0">
                  <c:v>2016-17</c:v>
                </c:pt>
              </c:strCache>
            </c:strRef>
          </c:tx>
          <c:spPr>
            <a:solidFill>
              <a:sysClr val="window" lastClr="FFFFFF"/>
            </a:solidFill>
            <a:ln>
              <a:solidFill>
                <a:sysClr val="windowText" lastClr="000000"/>
              </a:solidFill>
            </a:ln>
          </c:spPr>
          <c:invertIfNegative val="0"/>
          <c:cat>
            <c:strRef>
              <c:f>Mechanism!$A$171:$A$181</c:f>
              <c:strCache>
                <c:ptCount val="11"/>
                <c:pt idx="0">
                  <c:v>Seacare</c:v>
                </c:pt>
                <c:pt idx="1">
                  <c:v>NSW</c:v>
                </c:pt>
                <c:pt idx="2">
                  <c:v>NT</c:v>
                </c:pt>
                <c:pt idx="3">
                  <c:v>SA</c:v>
                </c:pt>
                <c:pt idx="4">
                  <c:v>VIC</c:v>
                </c:pt>
                <c:pt idx="5">
                  <c:v>Aus Gov</c:v>
                </c:pt>
                <c:pt idx="6">
                  <c:v>WA</c:v>
                </c:pt>
                <c:pt idx="7">
                  <c:v>QLD</c:v>
                </c:pt>
                <c:pt idx="8">
                  <c:v>TAS</c:v>
                </c:pt>
                <c:pt idx="9">
                  <c:v>ACT</c:v>
                </c:pt>
                <c:pt idx="10">
                  <c:v>Aus total</c:v>
                </c:pt>
              </c:strCache>
            </c:strRef>
          </c:cat>
          <c:val>
            <c:numRef>
              <c:f>Mechanism!$B$171:$B$181</c:f>
              <c:numCache>
                <c:formatCode>0.0</c:formatCode>
                <c:ptCount val="11"/>
                <c:pt idx="0">
                  <c:v>0</c:v>
                </c:pt>
                <c:pt idx="1">
                  <c:v>1.2143656877099303</c:v>
                </c:pt>
                <c:pt idx="2">
                  <c:v>2.5716385011021305</c:v>
                </c:pt>
                <c:pt idx="3">
                  <c:v>2.7268378249083081</c:v>
                </c:pt>
                <c:pt idx="4">
                  <c:v>0.75856090160381451</c:v>
                </c:pt>
                <c:pt idx="5">
                  <c:v>1.291409320606401</c:v>
                </c:pt>
                <c:pt idx="6">
                  <c:v>1.618235601183226</c:v>
                </c:pt>
                <c:pt idx="7">
                  <c:v>1.1849246999464873</c:v>
                </c:pt>
                <c:pt idx="8">
                  <c:v>0.94100615273253718</c:v>
                </c:pt>
                <c:pt idx="9">
                  <c:v>0.79096045197740106</c:v>
                </c:pt>
                <c:pt idx="10">
                  <c:v>1.2671373176703729</c:v>
                </c:pt>
              </c:numCache>
            </c:numRef>
          </c:val>
          <c:extLst>
            <c:ext xmlns:c16="http://schemas.microsoft.com/office/drawing/2014/chart" uri="{C3380CC4-5D6E-409C-BE32-E72D297353CC}">
              <c16:uniqueId val="{00000000-15C1-4849-9282-61F8535D04C7}"/>
            </c:ext>
          </c:extLst>
        </c:ser>
        <c:ser>
          <c:idx val="1"/>
          <c:order val="1"/>
          <c:tx>
            <c:strRef>
              <c:f>Mechanism!$C$170</c:f>
              <c:strCache>
                <c:ptCount val="1"/>
                <c:pt idx="0">
                  <c:v>2017-18</c:v>
                </c:pt>
              </c:strCache>
            </c:strRef>
          </c:tx>
          <c:spPr>
            <a:solidFill>
              <a:srgbClr val="E7E6E6">
                <a:lumMod val="75000"/>
              </a:srgbClr>
            </a:solidFill>
            <a:ln>
              <a:solidFill>
                <a:sysClr val="windowText" lastClr="000000"/>
              </a:solidFill>
            </a:ln>
          </c:spPr>
          <c:invertIfNegative val="0"/>
          <c:cat>
            <c:strRef>
              <c:f>Mechanism!$A$171:$A$181</c:f>
              <c:strCache>
                <c:ptCount val="11"/>
                <c:pt idx="0">
                  <c:v>Seacare</c:v>
                </c:pt>
                <c:pt idx="1">
                  <c:v>NSW</c:v>
                </c:pt>
                <c:pt idx="2">
                  <c:v>NT</c:v>
                </c:pt>
                <c:pt idx="3">
                  <c:v>SA</c:v>
                </c:pt>
                <c:pt idx="4">
                  <c:v>VIC</c:v>
                </c:pt>
                <c:pt idx="5">
                  <c:v>Aus Gov</c:v>
                </c:pt>
                <c:pt idx="6">
                  <c:v>WA</c:v>
                </c:pt>
                <c:pt idx="7">
                  <c:v>QLD</c:v>
                </c:pt>
                <c:pt idx="8">
                  <c:v>TAS</c:v>
                </c:pt>
                <c:pt idx="9">
                  <c:v>ACT</c:v>
                </c:pt>
                <c:pt idx="10">
                  <c:v>Aus total</c:v>
                </c:pt>
              </c:strCache>
            </c:strRef>
          </c:cat>
          <c:val>
            <c:numRef>
              <c:f>Mechanism!$C$171:$C$181</c:f>
              <c:numCache>
                <c:formatCode>0.0</c:formatCode>
                <c:ptCount val="11"/>
                <c:pt idx="0">
                  <c:v>0</c:v>
                </c:pt>
                <c:pt idx="1">
                  <c:v>1.1826182618261827</c:v>
                </c:pt>
                <c:pt idx="2">
                  <c:v>1.474010861132661</c:v>
                </c:pt>
                <c:pt idx="3">
                  <c:v>17.40511354613308</c:v>
                </c:pt>
                <c:pt idx="4">
                  <c:v>0.78740157480314954</c:v>
                </c:pt>
                <c:pt idx="5">
                  <c:v>1.5102481121898599</c:v>
                </c:pt>
                <c:pt idx="6">
                  <c:v>1.4365113296280463</c:v>
                </c:pt>
                <c:pt idx="7">
                  <c:v>1.1413585491079674</c:v>
                </c:pt>
                <c:pt idx="8">
                  <c:v>1.3612950699043413</c:v>
                </c:pt>
                <c:pt idx="9">
                  <c:v>0.50391937290033595</c:v>
                </c:pt>
                <c:pt idx="10">
                  <c:v>2.0822141123728719</c:v>
                </c:pt>
              </c:numCache>
            </c:numRef>
          </c:val>
          <c:extLst>
            <c:ext xmlns:c16="http://schemas.microsoft.com/office/drawing/2014/chart" uri="{C3380CC4-5D6E-409C-BE32-E72D297353CC}">
              <c16:uniqueId val="{00000001-15C1-4849-9282-61F8535D04C7}"/>
            </c:ext>
          </c:extLst>
        </c:ser>
        <c:ser>
          <c:idx val="2"/>
          <c:order val="2"/>
          <c:tx>
            <c:strRef>
              <c:f>Mechanism!$D$170</c:f>
              <c:strCache>
                <c:ptCount val="1"/>
                <c:pt idx="0">
                  <c:v>2018-19</c:v>
                </c:pt>
              </c:strCache>
            </c:strRef>
          </c:tx>
          <c:spPr>
            <a:solidFill>
              <a:srgbClr val="E7E6E6">
                <a:lumMod val="50000"/>
              </a:srgbClr>
            </a:solidFill>
            <a:ln>
              <a:solidFill>
                <a:sysClr val="windowText" lastClr="000000"/>
              </a:solidFill>
            </a:ln>
          </c:spPr>
          <c:invertIfNegative val="0"/>
          <c:cat>
            <c:strRef>
              <c:f>Mechanism!$A$171:$A$181</c:f>
              <c:strCache>
                <c:ptCount val="11"/>
                <c:pt idx="0">
                  <c:v>Seacare</c:v>
                </c:pt>
                <c:pt idx="1">
                  <c:v>NSW</c:v>
                </c:pt>
                <c:pt idx="2">
                  <c:v>NT</c:v>
                </c:pt>
                <c:pt idx="3">
                  <c:v>SA</c:v>
                </c:pt>
                <c:pt idx="4">
                  <c:v>VIC</c:v>
                </c:pt>
                <c:pt idx="5">
                  <c:v>Aus Gov</c:v>
                </c:pt>
                <c:pt idx="6">
                  <c:v>WA</c:v>
                </c:pt>
                <c:pt idx="7">
                  <c:v>QLD</c:v>
                </c:pt>
                <c:pt idx="8">
                  <c:v>TAS</c:v>
                </c:pt>
                <c:pt idx="9">
                  <c:v>ACT</c:v>
                </c:pt>
                <c:pt idx="10">
                  <c:v>Aus total</c:v>
                </c:pt>
              </c:strCache>
            </c:strRef>
          </c:cat>
          <c:val>
            <c:numRef>
              <c:f>Mechanism!$D$171:$D$181</c:f>
              <c:numCache>
                <c:formatCode>0.0</c:formatCode>
                <c:ptCount val="11"/>
                <c:pt idx="0">
                  <c:v>0</c:v>
                </c:pt>
                <c:pt idx="1">
                  <c:v>1.2868346912358182</c:v>
                </c:pt>
                <c:pt idx="2">
                  <c:v>1.4365522745411012</c:v>
                </c:pt>
                <c:pt idx="3">
                  <c:v>1.2929767851895386</c:v>
                </c:pt>
                <c:pt idx="4">
                  <c:v>0.96490782591031432</c:v>
                </c:pt>
                <c:pt idx="5">
                  <c:v>1.1578947368421053</c:v>
                </c:pt>
                <c:pt idx="6">
                  <c:v>1.6663832681516748</c:v>
                </c:pt>
                <c:pt idx="7">
                  <c:v>1.7554772271753405</c:v>
                </c:pt>
                <c:pt idx="8">
                  <c:v>1.399878271454656</c:v>
                </c:pt>
                <c:pt idx="9">
                  <c:v>0.40509259259259256</c:v>
                </c:pt>
                <c:pt idx="10">
                  <c:v>1.3802412156572474</c:v>
                </c:pt>
              </c:numCache>
            </c:numRef>
          </c:val>
          <c:extLst>
            <c:ext xmlns:c16="http://schemas.microsoft.com/office/drawing/2014/chart" uri="{C3380CC4-5D6E-409C-BE32-E72D297353CC}">
              <c16:uniqueId val="{00000002-15C1-4849-9282-61F8535D04C7}"/>
            </c:ext>
          </c:extLst>
        </c:ser>
        <c:ser>
          <c:idx val="3"/>
          <c:order val="3"/>
          <c:tx>
            <c:strRef>
              <c:f>Mechanism!$E$170</c:f>
              <c:strCache>
                <c:ptCount val="1"/>
                <c:pt idx="0">
                  <c:v>2019-20</c:v>
                </c:pt>
              </c:strCache>
            </c:strRef>
          </c:tx>
          <c:spPr>
            <a:solidFill>
              <a:sysClr val="windowText" lastClr="000000">
                <a:lumMod val="75000"/>
                <a:lumOff val="25000"/>
              </a:sysClr>
            </a:solidFill>
            <a:ln>
              <a:solidFill>
                <a:sysClr val="windowText" lastClr="000000"/>
              </a:solidFill>
            </a:ln>
          </c:spPr>
          <c:invertIfNegative val="0"/>
          <c:cat>
            <c:strRef>
              <c:f>Mechanism!$A$171:$A$181</c:f>
              <c:strCache>
                <c:ptCount val="11"/>
                <c:pt idx="0">
                  <c:v>Seacare</c:v>
                </c:pt>
                <c:pt idx="1">
                  <c:v>NSW</c:v>
                </c:pt>
                <c:pt idx="2">
                  <c:v>NT</c:v>
                </c:pt>
                <c:pt idx="3">
                  <c:v>SA</c:v>
                </c:pt>
                <c:pt idx="4">
                  <c:v>VIC</c:v>
                </c:pt>
                <c:pt idx="5">
                  <c:v>Aus Gov</c:v>
                </c:pt>
                <c:pt idx="6">
                  <c:v>WA</c:v>
                </c:pt>
                <c:pt idx="7">
                  <c:v>QLD</c:v>
                </c:pt>
                <c:pt idx="8">
                  <c:v>TAS</c:v>
                </c:pt>
                <c:pt idx="9">
                  <c:v>ACT</c:v>
                </c:pt>
                <c:pt idx="10">
                  <c:v>Aus total</c:v>
                </c:pt>
              </c:strCache>
            </c:strRef>
          </c:cat>
          <c:val>
            <c:numRef>
              <c:f>Mechanism!$E$171:$E$181</c:f>
              <c:numCache>
                <c:formatCode>0.0</c:formatCode>
                <c:ptCount val="11"/>
                <c:pt idx="0">
                  <c:v>6.666666666666667</c:v>
                </c:pt>
                <c:pt idx="1">
                  <c:v>1.3278461153679997</c:v>
                </c:pt>
                <c:pt idx="2">
                  <c:v>2.3622047244094486</c:v>
                </c:pt>
                <c:pt idx="3">
                  <c:v>1.2858409695536506</c:v>
                </c:pt>
                <c:pt idx="4">
                  <c:v>1.2653760838878807</c:v>
                </c:pt>
                <c:pt idx="5">
                  <c:v>0.91139240506329122</c:v>
                </c:pt>
                <c:pt idx="6">
                  <c:v>1.8145511373502343</c:v>
                </c:pt>
                <c:pt idx="7">
                  <c:v>1.4126138511771782</c:v>
                </c:pt>
                <c:pt idx="8">
                  <c:v>2.3529411764705883</c:v>
                </c:pt>
                <c:pt idx="9">
                  <c:v>0.8106543138390272</c:v>
                </c:pt>
                <c:pt idx="10">
                  <c:v>1.4100082941664362</c:v>
                </c:pt>
              </c:numCache>
            </c:numRef>
          </c:val>
          <c:extLst>
            <c:ext xmlns:c16="http://schemas.microsoft.com/office/drawing/2014/chart" uri="{C3380CC4-5D6E-409C-BE32-E72D297353CC}">
              <c16:uniqueId val="{00000003-15C1-4849-9282-61F8535D04C7}"/>
            </c:ext>
          </c:extLst>
        </c:ser>
        <c:ser>
          <c:idx val="4"/>
          <c:order val="4"/>
          <c:tx>
            <c:strRef>
              <c:f>Mechanism!$F$170</c:f>
              <c:strCache>
                <c:ptCount val="1"/>
                <c:pt idx="0">
                  <c:v>2020-21</c:v>
                </c:pt>
              </c:strCache>
            </c:strRef>
          </c:tx>
          <c:spPr>
            <a:solidFill>
              <a:sysClr val="windowText" lastClr="000000">
                <a:lumMod val="85000"/>
                <a:lumOff val="15000"/>
              </a:sysClr>
            </a:solidFill>
            <a:ln>
              <a:solidFill>
                <a:sysClr val="windowText" lastClr="000000"/>
              </a:solidFill>
            </a:ln>
          </c:spPr>
          <c:invertIfNegative val="0"/>
          <c:cat>
            <c:strRef>
              <c:f>Mechanism!$A$171:$A$181</c:f>
              <c:strCache>
                <c:ptCount val="11"/>
                <c:pt idx="0">
                  <c:v>Seacare</c:v>
                </c:pt>
                <c:pt idx="1">
                  <c:v>NSW</c:v>
                </c:pt>
                <c:pt idx="2">
                  <c:v>NT</c:v>
                </c:pt>
                <c:pt idx="3">
                  <c:v>SA</c:v>
                </c:pt>
                <c:pt idx="4">
                  <c:v>VIC</c:v>
                </c:pt>
                <c:pt idx="5">
                  <c:v>Aus Gov</c:v>
                </c:pt>
                <c:pt idx="6">
                  <c:v>WA</c:v>
                </c:pt>
                <c:pt idx="7">
                  <c:v>QLD</c:v>
                </c:pt>
                <c:pt idx="8">
                  <c:v>TAS</c:v>
                </c:pt>
                <c:pt idx="9">
                  <c:v>ACT</c:v>
                </c:pt>
                <c:pt idx="10">
                  <c:v>Aus total</c:v>
                </c:pt>
              </c:strCache>
            </c:strRef>
          </c:cat>
          <c:val>
            <c:numRef>
              <c:f>Mechanism!$F$171:$F$181</c:f>
              <c:numCache>
                <c:formatCode>0.0</c:formatCode>
                <c:ptCount val="11"/>
                <c:pt idx="0">
                  <c:v>7.8947368421052628</c:v>
                </c:pt>
                <c:pt idx="1">
                  <c:v>1.1174001127843105</c:v>
                </c:pt>
                <c:pt idx="2">
                  <c:v>2.1515434985968196</c:v>
                </c:pt>
                <c:pt idx="3">
                  <c:v>1.3236549957301451</c:v>
                </c:pt>
                <c:pt idx="4">
                  <c:v>2.7650450983291437</c:v>
                </c:pt>
                <c:pt idx="5">
                  <c:v>0.75223319228960972</c:v>
                </c:pt>
                <c:pt idx="6">
                  <c:v>1.3493370989252373</c:v>
                </c:pt>
                <c:pt idx="7">
                  <c:v>1.2210796915167095</c:v>
                </c:pt>
                <c:pt idx="8">
                  <c:v>1.3368206916594012</c:v>
                </c:pt>
                <c:pt idx="9">
                  <c:v>0.55157198014340869</c:v>
                </c:pt>
                <c:pt idx="10">
                  <c:v>1.4410382289400123</c:v>
                </c:pt>
              </c:numCache>
            </c:numRef>
          </c:val>
          <c:extLst>
            <c:ext xmlns:c16="http://schemas.microsoft.com/office/drawing/2014/chart" uri="{C3380CC4-5D6E-409C-BE32-E72D297353CC}">
              <c16:uniqueId val="{00000004-15C1-4849-9282-61F8535D04C7}"/>
            </c:ext>
          </c:extLst>
        </c:ser>
        <c:ser>
          <c:idx val="5"/>
          <c:order val="5"/>
          <c:tx>
            <c:strRef>
              <c:f>Mechanism!$G$170</c:f>
              <c:strCache>
                <c:ptCount val="1"/>
                <c:pt idx="0">
                  <c:v>2021-22p</c:v>
                </c:pt>
              </c:strCache>
            </c:strRef>
          </c:tx>
          <c:spPr>
            <a:solidFill>
              <a:srgbClr val="C00000"/>
            </a:solidFill>
            <a:ln>
              <a:solidFill>
                <a:sysClr val="windowText" lastClr="000000"/>
              </a:solidFill>
            </a:ln>
          </c:spPr>
          <c:invertIfNegative val="0"/>
          <c:cat>
            <c:strRef>
              <c:f>Mechanism!$A$171:$A$181</c:f>
              <c:strCache>
                <c:ptCount val="11"/>
                <c:pt idx="0">
                  <c:v>Seacare</c:v>
                </c:pt>
                <c:pt idx="1">
                  <c:v>NSW</c:v>
                </c:pt>
                <c:pt idx="2">
                  <c:v>NT</c:v>
                </c:pt>
                <c:pt idx="3">
                  <c:v>SA</c:v>
                </c:pt>
                <c:pt idx="4">
                  <c:v>VIC</c:v>
                </c:pt>
                <c:pt idx="5">
                  <c:v>Aus Gov</c:v>
                </c:pt>
                <c:pt idx="6">
                  <c:v>WA</c:v>
                </c:pt>
                <c:pt idx="7">
                  <c:v>QLD</c:v>
                </c:pt>
                <c:pt idx="8">
                  <c:v>TAS</c:v>
                </c:pt>
                <c:pt idx="9">
                  <c:v>ACT</c:v>
                </c:pt>
                <c:pt idx="10">
                  <c:v>Aus total</c:v>
                </c:pt>
              </c:strCache>
            </c:strRef>
          </c:cat>
          <c:val>
            <c:numRef>
              <c:f>Mechanism!$G$171:$G$181</c:f>
              <c:numCache>
                <c:formatCode>0.0</c:formatCode>
                <c:ptCount val="11"/>
                <c:pt idx="0">
                  <c:v>19.753086419753085</c:v>
                </c:pt>
                <c:pt idx="1">
                  <c:v>18.791593695271452</c:v>
                </c:pt>
                <c:pt idx="2">
                  <c:v>3.2301480484522207</c:v>
                </c:pt>
                <c:pt idx="3">
                  <c:v>2.5204473376731764</c:v>
                </c:pt>
                <c:pt idx="4">
                  <c:v>2.2414312996281032</c:v>
                </c:pt>
                <c:pt idx="5">
                  <c:v>1.8762677484787018</c:v>
                </c:pt>
                <c:pt idx="6">
                  <c:v>1.8455228981544769</c:v>
                </c:pt>
                <c:pt idx="7">
                  <c:v>1.5002253557401326</c:v>
                </c:pt>
                <c:pt idx="8">
                  <c:v>1.3458162668227034</c:v>
                </c:pt>
                <c:pt idx="9">
                  <c:v>1.2692050768203071</c:v>
                </c:pt>
                <c:pt idx="10">
                  <c:v>8.6712170074203954</c:v>
                </c:pt>
              </c:numCache>
            </c:numRef>
          </c:val>
          <c:extLst>
            <c:ext xmlns:c16="http://schemas.microsoft.com/office/drawing/2014/chart" uri="{C3380CC4-5D6E-409C-BE32-E72D297353CC}">
              <c16:uniqueId val="{00000005-15C1-4849-9282-61F8535D04C7}"/>
            </c:ext>
          </c:extLst>
        </c:ser>
        <c:dLbls>
          <c:showLegendKey val="0"/>
          <c:showVal val="0"/>
          <c:showCatName val="0"/>
          <c:showSerName val="0"/>
          <c:showPercent val="0"/>
          <c:showBubbleSize val="0"/>
        </c:dLbls>
        <c:gapWidth val="150"/>
        <c:axId val="478564352"/>
        <c:axId val="478565888"/>
      </c:barChart>
      <c:lineChart>
        <c:grouping val="standard"/>
        <c:varyColors val="0"/>
        <c:ser>
          <c:idx val="6"/>
          <c:order val="6"/>
          <c:tx>
            <c:strRef>
              <c:f>Mechanism!$H$170</c:f>
              <c:strCache>
                <c:ptCount val="1"/>
                <c:pt idx="0">
                  <c:v>2021-22p Aus</c:v>
                </c:pt>
              </c:strCache>
            </c:strRef>
          </c:tx>
          <c:spPr>
            <a:ln>
              <a:solidFill>
                <a:srgbClr val="C00000"/>
              </a:solidFill>
            </a:ln>
          </c:spPr>
          <c:marker>
            <c:symbol val="none"/>
          </c:marker>
          <c:cat>
            <c:strRef>
              <c:f>Mechanism!$A$171:$A$181</c:f>
              <c:strCache>
                <c:ptCount val="11"/>
                <c:pt idx="0">
                  <c:v>Seacare</c:v>
                </c:pt>
                <c:pt idx="1">
                  <c:v>NSW</c:v>
                </c:pt>
                <c:pt idx="2">
                  <c:v>NT</c:v>
                </c:pt>
                <c:pt idx="3">
                  <c:v>SA</c:v>
                </c:pt>
                <c:pt idx="4">
                  <c:v>VIC</c:v>
                </c:pt>
                <c:pt idx="5">
                  <c:v>Aus Gov</c:v>
                </c:pt>
                <c:pt idx="6">
                  <c:v>WA</c:v>
                </c:pt>
                <c:pt idx="7">
                  <c:v>QLD</c:v>
                </c:pt>
                <c:pt idx="8">
                  <c:v>TAS</c:v>
                </c:pt>
                <c:pt idx="9">
                  <c:v>ACT</c:v>
                </c:pt>
                <c:pt idx="10">
                  <c:v>Aus total</c:v>
                </c:pt>
              </c:strCache>
            </c:strRef>
          </c:cat>
          <c:val>
            <c:numRef>
              <c:f>Mechanism!$H$171:$H$181</c:f>
              <c:numCache>
                <c:formatCode>0.0</c:formatCode>
                <c:ptCount val="11"/>
                <c:pt idx="0">
                  <c:v>8.6712170074203954</c:v>
                </c:pt>
                <c:pt idx="1">
                  <c:v>8.6712170074203954</c:v>
                </c:pt>
                <c:pt idx="2">
                  <c:v>8.6712170074203954</c:v>
                </c:pt>
                <c:pt idx="3">
                  <c:v>8.6712170074203954</c:v>
                </c:pt>
                <c:pt idx="4">
                  <c:v>8.6712170074203954</c:v>
                </c:pt>
                <c:pt idx="5">
                  <c:v>8.6712170074203954</c:v>
                </c:pt>
                <c:pt idx="6">
                  <c:v>8.6712170074203954</c:v>
                </c:pt>
                <c:pt idx="7">
                  <c:v>8.6712170074203954</c:v>
                </c:pt>
                <c:pt idx="8">
                  <c:v>8.6712170074203954</c:v>
                </c:pt>
                <c:pt idx="9">
                  <c:v>8.6712170074203954</c:v>
                </c:pt>
              </c:numCache>
            </c:numRef>
          </c:val>
          <c:smooth val="0"/>
          <c:extLst>
            <c:ext xmlns:c16="http://schemas.microsoft.com/office/drawing/2014/chart" uri="{C3380CC4-5D6E-409C-BE32-E72D297353CC}">
              <c16:uniqueId val="{00000006-15C1-4849-9282-61F8535D04C7}"/>
            </c:ext>
          </c:extLst>
        </c:ser>
        <c:dLbls>
          <c:showLegendKey val="0"/>
          <c:showVal val="0"/>
          <c:showCatName val="0"/>
          <c:showSerName val="0"/>
          <c:showPercent val="0"/>
          <c:showBubbleSize val="0"/>
        </c:dLbls>
        <c:marker val="1"/>
        <c:smooth val="0"/>
        <c:axId val="478564352"/>
        <c:axId val="478565888"/>
      </c:lineChart>
      <c:catAx>
        <c:axId val="478564352"/>
        <c:scaling>
          <c:orientation val="minMax"/>
        </c:scaling>
        <c:delete val="0"/>
        <c:axPos val="b"/>
        <c:numFmt formatCode="General" sourceLinked="0"/>
        <c:majorTickMark val="out"/>
        <c:minorTickMark val="none"/>
        <c:tickLblPos val="nextTo"/>
        <c:crossAx val="478565888"/>
        <c:crosses val="autoZero"/>
        <c:auto val="1"/>
        <c:lblAlgn val="ctr"/>
        <c:lblOffset val="100"/>
        <c:noMultiLvlLbl val="0"/>
      </c:catAx>
      <c:valAx>
        <c:axId val="478565888"/>
        <c:scaling>
          <c:orientation val="minMax"/>
          <c:max val="22"/>
          <c:min val="0"/>
        </c:scaling>
        <c:delete val="0"/>
        <c:axPos val="l"/>
        <c:majorGridlines/>
        <c:title>
          <c:tx>
            <c:strRef>
              <c:f>'[3](b) Falls, Trips'!$L$12</c:f>
              <c:strCache>
                <c:ptCount val="1"/>
                <c:pt idx="0">
                  <c:v>Proportion of Claims (%)</c:v>
                </c:pt>
              </c:strCache>
            </c:strRef>
          </c:tx>
          <c:layout>
            <c:manualLayout>
              <c:xMode val="edge"/>
              <c:yMode val="edge"/>
              <c:x val="8.2902355416779802E-2"/>
              <c:y val="9.4938371101577976E-2"/>
            </c:manualLayout>
          </c:layout>
          <c:overlay val="0"/>
          <c:txPr>
            <a:bodyPr rot="-5400000" vert="horz"/>
            <a:lstStyle/>
            <a:p>
              <a:pPr>
                <a:defRPr b="0"/>
              </a:pPr>
              <a:endParaRPr lang="en-US"/>
            </a:p>
          </c:txPr>
        </c:title>
        <c:numFmt formatCode="0.0" sourceLinked="1"/>
        <c:majorTickMark val="out"/>
        <c:minorTickMark val="none"/>
        <c:tickLblPos val="nextTo"/>
        <c:crossAx val="478564352"/>
        <c:crosses val="autoZero"/>
        <c:crossBetween val="between"/>
      </c:valAx>
      <c:dTable>
        <c:showHorzBorder val="0"/>
        <c:showVertBorder val="0"/>
        <c:showOutline val="0"/>
        <c:showKeys val="1"/>
      </c:dTable>
      <c:spPr>
        <a:ln>
          <a:solidFill>
            <a:schemeClr val="bg1">
              <a:lumMod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Mechanism!$B$197</c:f>
              <c:strCache>
                <c:ptCount val="1"/>
                <c:pt idx="0">
                  <c:v>2016-17</c:v>
                </c:pt>
              </c:strCache>
            </c:strRef>
          </c:tx>
          <c:spPr>
            <a:solidFill>
              <a:sysClr val="window" lastClr="FFFFFF"/>
            </a:solidFill>
            <a:ln>
              <a:solidFill>
                <a:sysClr val="windowText" lastClr="000000"/>
              </a:solidFill>
            </a:ln>
          </c:spPr>
          <c:invertIfNegative val="0"/>
          <c:cat>
            <c:strRef>
              <c:f>Mechanism!$A$198:$A$208</c:f>
              <c:strCache>
                <c:ptCount val="11"/>
                <c:pt idx="0">
                  <c:v>Aus Gov</c:v>
                </c:pt>
                <c:pt idx="1">
                  <c:v>ACT</c:v>
                </c:pt>
                <c:pt idx="2">
                  <c:v>NSW</c:v>
                </c:pt>
                <c:pt idx="3">
                  <c:v>QLD</c:v>
                </c:pt>
                <c:pt idx="4">
                  <c:v>TAS</c:v>
                </c:pt>
                <c:pt idx="5">
                  <c:v>NT</c:v>
                </c:pt>
                <c:pt idx="6">
                  <c:v>SA</c:v>
                </c:pt>
                <c:pt idx="7">
                  <c:v>VIC</c:v>
                </c:pt>
                <c:pt idx="8">
                  <c:v>WA</c:v>
                </c:pt>
                <c:pt idx="9">
                  <c:v>Seacare</c:v>
                </c:pt>
                <c:pt idx="10">
                  <c:v>Aus total</c:v>
                </c:pt>
              </c:strCache>
            </c:strRef>
          </c:cat>
          <c:val>
            <c:numRef>
              <c:f>Mechanism!$B$198:$B$208</c:f>
              <c:numCache>
                <c:formatCode>0.0</c:formatCode>
                <c:ptCount val="11"/>
                <c:pt idx="0">
                  <c:v>10.780460415496911</c:v>
                </c:pt>
                <c:pt idx="1">
                  <c:v>10.790960451977401</c:v>
                </c:pt>
                <c:pt idx="2">
                  <c:v>5.8880946229150517</c:v>
                </c:pt>
                <c:pt idx="3">
                  <c:v>10.966286981117651</c:v>
                </c:pt>
                <c:pt idx="4">
                  <c:v>5.935577271082157</c:v>
                </c:pt>
                <c:pt idx="5">
                  <c:v>3.8941954445260838</c:v>
                </c:pt>
                <c:pt idx="6">
                  <c:v>5.6290862701323547</c:v>
                </c:pt>
                <c:pt idx="7">
                  <c:v>3.944516688339835</c:v>
                </c:pt>
                <c:pt idx="8">
                  <c:v>2.4099530189664176</c:v>
                </c:pt>
                <c:pt idx="9">
                  <c:v>0</c:v>
                </c:pt>
                <c:pt idx="10">
                  <c:v>6.5529101285239282</c:v>
                </c:pt>
              </c:numCache>
            </c:numRef>
          </c:val>
          <c:extLst>
            <c:ext xmlns:c16="http://schemas.microsoft.com/office/drawing/2014/chart" uri="{C3380CC4-5D6E-409C-BE32-E72D297353CC}">
              <c16:uniqueId val="{00000000-5F00-43AE-99B8-95A5548CF17D}"/>
            </c:ext>
          </c:extLst>
        </c:ser>
        <c:ser>
          <c:idx val="1"/>
          <c:order val="1"/>
          <c:tx>
            <c:strRef>
              <c:f>Mechanism!$C$197</c:f>
              <c:strCache>
                <c:ptCount val="1"/>
                <c:pt idx="0">
                  <c:v>2017-18</c:v>
                </c:pt>
              </c:strCache>
            </c:strRef>
          </c:tx>
          <c:spPr>
            <a:solidFill>
              <a:srgbClr val="E7E6E6">
                <a:lumMod val="90000"/>
              </a:srgbClr>
            </a:solidFill>
            <a:ln>
              <a:solidFill>
                <a:sysClr val="windowText" lastClr="000000"/>
              </a:solidFill>
            </a:ln>
          </c:spPr>
          <c:invertIfNegative val="0"/>
          <c:cat>
            <c:strRef>
              <c:f>Mechanism!$A$198:$A$208</c:f>
              <c:strCache>
                <c:ptCount val="11"/>
                <c:pt idx="0">
                  <c:v>Aus Gov</c:v>
                </c:pt>
                <c:pt idx="1">
                  <c:v>ACT</c:v>
                </c:pt>
                <c:pt idx="2">
                  <c:v>NSW</c:v>
                </c:pt>
                <c:pt idx="3">
                  <c:v>QLD</c:v>
                </c:pt>
                <c:pt idx="4">
                  <c:v>TAS</c:v>
                </c:pt>
                <c:pt idx="5">
                  <c:v>NT</c:v>
                </c:pt>
                <c:pt idx="6">
                  <c:v>SA</c:v>
                </c:pt>
                <c:pt idx="7">
                  <c:v>VIC</c:v>
                </c:pt>
                <c:pt idx="8">
                  <c:v>WA</c:v>
                </c:pt>
                <c:pt idx="9">
                  <c:v>Seacare</c:v>
                </c:pt>
                <c:pt idx="10">
                  <c:v>Aus total</c:v>
                </c:pt>
              </c:strCache>
            </c:strRef>
          </c:cat>
          <c:val>
            <c:numRef>
              <c:f>Mechanism!$C$198:$C$208</c:f>
              <c:numCache>
                <c:formatCode>0.0</c:formatCode>
                <c:ptCount val="11"/>
                <c:pt idx="0">
                  <c:v>11.866235167206041</c:v>
                </c:pt>
                <c:pt idx="1">
                  <c:v>7.6707726763717803</c:v>
                </c:pt>
                <c:pt idx="2">
                  <c:v>8.0693069306930703</c:v>
                </c:pt>
                <c:pt idx="3">
                  <c:v>11.598271340449894</c:v>
                </c:pt>
                <c:pt idx="4">
                  <c:v>4.5621780721118474</c:v>
                </c:pt>
                <c:pt idx="5">
                  <c:v>4.4996121024049653</c:v>
                </c:pt>
                <c:pt idx="6">
                  <c:v>3.0808321422899794</c:v>
                </c:pt>
                <c:pt idx="7">
                  <c:v>3.7507980421366249</c:v>
                </c:pt>
                <c:pt idx="8">
                  <c:v>2.3599828986746472</c:v>
                </c:pt>
                <c:pt idx="9">
                  <c:v>0</c:v>
                </c:pt>
                <c:pt idx="10">
                  <c:v>7.2145754987866102</c:v>
                </c:pt>
              </c:numCache>
            </c:numRef>
          </c:val>
          <c:extLst>
            <c:ext xmlns:c16="http://schemas.microsoft.com/office/drawing/2014/chart" uri="{C3380CC4-5D6E-409C-BE32-E72D297353CC}">
              <c16:uniqueId val="{00000001-5F00-43AE-99B8-95A5548CF17D}"/>
            </c:ext>
          </c:extLst>
        </c:ser>
        <c:ser>
          <c:idx val="2"/>
          <c:order val="2"/>
          <c:tx>
            <c:strRef>
              <c:f>Mechanism!$D$197</c:f>
              <c:strCache>
                <c:ptCount val="1"/>
                <c:pt idx="0">
                  <c:v>2018-19</c:v>
                </c:pt>
              </c:strCache>
            </c:strRef>
          </c:tx>
          <c:spPr>
            <a:solidFill>
              <a:srgbClr val="E7E6E6">
                <a:lumMod val="75000"/>
              </a:srgbClr>
            </a:solidFill>
            <a:ln>
              <a:solidFill>
                <a:sysClr val="windowText" lastClr="000000"/>
              </a:solidFill>
            </a:ln>
          </c:spPr>
          <c:invertIfNegative val="0"/>
          <c:cat>
            <c:strRef>
              <c:f>Mechanism!$A$198:$A$208</c:f>
              <c:strCache>
                <c:ptCount val="11"/>
                <c:pt idx="0">
                  <c:v>Aus Gov</c:v>
                </c:pt>
                <c:pt idx="1">
                  <c:v>ACT</c:v>
                </c:pt>
                <c:pt idx="2">
                  <c:v>NSW</c:v>
                </c:pt>
                <c:pt idx="3">
                  <c:v>QLD</c:v>
                </c:pt>
                <c:pt idx="4">
                  <c:v>TAS</c:v>
                </c:pt>
                <c:pt idx="5">
                  <c:v>NT</c:v>
                </c:pt>
                <c:pt idx="6">
                  <c:v>SA</c:v>
                </c:pt>
                <c:pt idx="7">
                  <c:v>VIC</c:v>
                </c:pt>
                <c:pt idx="8">
                  <c:v>WA</c:v>
                </c:pt>
                <c:pt idx="9">
                  <c:v>Seacare</c:v>
                </c:pt>
                <c:pt idx="10">
                  <c:v>Aus total</c:v>
                </c:pt>
              </c:strCache>
            </c:strRef>
          </c:cat>
          <c:val>
            <c:numRef>
              <c:f>Mechanism!$D$198:$D$208</c:f>
              <c:numCache>
                <c:formatCode>0.0</c:formatCode>
                <c:ptCount val="11"/>
                <c:pt idx="0">
                  <c:v>11.526315789473685</c:v>
                </c:pt>
                <c:pt idx="1">
                  <c:v>7.5231481481481479</c:v>
                </c:pt>
                <c:pt idx="2">
                  <c:v>8.6296606512855654</c:v>
                </c:pt>
                <c:pt idx="3">
                  <c:v>11.220540465823484</c:v>
                </c:pt>
                <c:pt idx="4">
                  <c:v>4.595252586731589</c:v>
                </c:pt>
                <c:pt idx="5">
                  <c:v>4.1500399042298488</c:v>
                </c:pt>
                <c:pt idx="6">
                  <c:v>3.1442844548927416</c:v>
                </c:pt>
                <c:pt idx="7">
                  <c:v>3.3060789193032347</c:v>
                </c:pt>
                <c:pt idx="8">
                  <c:v>2.8906648529161707</c:v>
                </c:pt>
                <c:pt idx="9">
                  <c:v>0</c:v>
                </c:pt>
                <c:pt idx="10">
                  <c:v>7.3200679235424744</c:v>
                </c:pt>
              </c:numCache>
            </c:numRef>
          </c:val>
          <c:extLst>
            <c:ext xmlns:c16="http://schemas.microsoft.com/office/drawing/2014/chart" uri="{C3380CC4-5D6E-409C-BE32-E72D297353CC}">
              <c16:uniqueId val="{00000002-5F00-43AE-99B8-95A5548CF17D}"/>
            </c:ext>
          </c:extLst>
        </c:ser>
        <c:ser>
          <c:idx val="3"/>
          <c:order val="3"/>
          <c:tx>
            <c:strRef>
              <c:f>Mechanism!$E$197</c:f>
              <c:strCache>
                <c:ptCount val="1"/>
                <c:pt idx="0">
                  <c:v>2019-20</c:v>
                </c:pt>
              </c:strCache>
            </c:strRef>
          </c:tx>
          <c:spPr>
            <a:solidFill>
              <a:srgbClr val="E7E6E6">
                <a:lumMod val="50000"/>
              </a:srgbClr>
            </a:solidFill>
            <a:ln>
              <a:solidFill>
                <a:sysClr val="windowText" lastClr="000000"/>
              </a:solidFill>
            </a:ln>
          </c:spPr>
          <c:invertIfNegative val="0"/>
          <c:cat>
            <c:strRef>
              <c:f>Mechanism!$A$198:$A$208</c:f>
              <c:strCache>
                <c:ptCount val="11"/>
                <c:pt idx="0">
                  <c:v>Aus Gov</c:v>
                </c:pt>
                <c:pt idx="1">
                  <c:v>ACT</c:v>
                </c:pt>
                <c:pt idx="2">
                  <c:v>NSW</c:v>
                </c:pt>
                <c:pt idx="3">
                  <c:v>QLD</c:v>
                </c:pt>
                <c:pt idx="4">
                  <c:v>TAS</c:v>
                </c:pt>
                <c:pt idx="5">
                  <c:v>NT</c:v>
                </c:pt>
                <c:pt idx="6">
                  <c:v>SA</c:v>
                </c:pt>
                <c:pt idx="7">
                  <c:v>VIC</c:v>
                </c:pt>
                <c:pt idx="8">
                  <c:v>WA</c:v>
                </c:pt>
                <c:pt idx="9">
                  <c:v>Seacare</c:v>
                </c:pt>
                <c:pt idx="10">
                  <c:v>Aus total</c:v>
                </c:pt>
              </c:strCache>
            </c:strRef>
          </c:cat>
          <c:val>
            <c:numRef>
              <c:f>Mechanism!$E$198:$E$208</c:f>
              <c:numCache>
                <c:formatCode>0.0</c:formatCode>
                <c:ptCount val="11"/>
                <c:pt idx="0">
                  <c:v>13.164556962025317</c:v>
                </c:pt>
                <c:pt idx="1">
                  <c:v>7.8170237405906198</c:v>
                </c:pt>
                <c:pt idx="2">
                  <c:v>7.5964621086378203</c:v>
                </c:pt>
                <c:pt idx="3">
                  <c:v>5.189895170991579</c:v>
                </c:pt>
                <c:pt idx="4">
                  <c:v>5.2631578947368416</c:v>
                </c:pt>
                <c:pt idx="5">
                  <c:v>3.1496062992125982</c:v>
                </c:pt>
                <c:pt idx="6">
                  <c:v>2.9263966893289979</c:v>
                </c:pt>
                <c:pt idx="7">
                  <c:v>3.1760435571687839</c:v>
                </c:pt>
                <c:pt idx="8">
                  <c:v>2.0055565202292067</c:v>
                </c:pt>
                <c:pt idx="9">
                  <c:v>6.666666666666667</c:v>
                </c:pt>
                <c:pt idx="10">
                  <c:v>5.4599073399183986</c:v>
                </c:pt>
              </c:numCache>
            </c:numRef>
          </c:val>
          <c:extLst>
            <c:ext xmlns:c16="http://schemas.microsoft.com/office/drawing/2014/chart" uri="{C3380CC4-5D6E-409C-BE32-E72D297353CC}">
              <c16:uniqueId val="{00000003-5F00-43AE-99B8-95A5548CF17D}"/>
            </c:ext>
          </c:extLst>
        </c:ser>
        <c:ser>
          <c:idx val="4"/>
          <c:order val="4"/>
          <c:tx>
            <c:strRef>
              <c:f>Mechanism!$F$197</c:f>
              <c:strCache>
                <c:ptCount val="1"/>
                <c:pt idx="0">
                  <c:v>2020-21</c:v>
                </c:pt>
              </c:strCache>
            </c:strRef>
          </c:tx>
          <c:spPr>
            <a:solidFill>
              <a:srgbClr val="E7E6E6">
                <a:lumMod val="25000"/>
              </a:srgbClr>
            </a:solidFill>
            <a:ln>
              <a:solidFill>
                <a:sysClr val="windowText" lastClr="000000"/>
              </a:solidFill>
            </a:ln>
          </c:spPr>
          <c:invertIfNegative val="0"/>
          <c:cat>
            <c:strRef>
              <c:f>Mechanism!$A$198:$A$208</c:f>
              <c:strCache>
                <c:ptCount val="11"/>
                <c:pt idx="0">
                  <c:v>Aus Gov</c:v>
                </c:pt>
                <c:pt idx="1">
                  <c:v>ACT</c:v>
                </c:pt>
                <c:pt idx="2">
                  <c:v>NSW</c:v>
                </c:pt>
                <c:pt idx="3">
                  <c:v>QLD</c:v>
                </c:pt>
                <c:pt idx="4">
                  <c:v>TAS</c:v>
                </c:pt>
                <c:pt idx="5">
                  <c:v>NT</c:v>
                </c:pt>
                <c:pt idx="6">
                  <c:v>SA</c:v>
                </c:pt>
                <c:pt idx="7">
                  <c:v>VIC</c:v>
                </c:pt>
                <c:pt idx="8">
                  <c:v>WA</c:v>
                </c:pt>
                <c:pt idx="9">
                  <c:v>Seacare</c:v>
                </c:pt>
                <c:pt idx="10">
                  <c:v>Aus total</c:v>
                </c:pt>
              </c:strCache>
            </c:strRef>
          </c:cat>
          <c:val>
            <c:numRef>
              <c:f>Mechanism!$F$198:$F$208</c:f>
              <c:numCache>
                <c:formatCode>0.0</c:formatCode>
                <c:ptCount val="11"/>
                <c:pt idx="0">
                  <c:v>11.941701927597554</c:v>
                </c:pt>
                <c:pt idx="1">
                  <c:v>8.7148372862658565</c:v>
                </c:pt>
                <c:pt idx="2">
                  <c:v>7.3226257858351254</c:v>
                </c:pt>
                <c:pt idx="3">
                  <c:v>5.9738034031093159</c:v>
                </c:pt>
                <c:pt idx="4">
                  <c:v>6.0738157512351059</c:v>
                </c:pt>
                <c:pt idx="5">
                  <c:v>3.5547240411599623</c:v>
                </c:pt>
                <c:pt idx="6">
                  <c:v>2.7754056362083688</c:v>
                </c:pt>
                <c:pt idx="7">
                  <c:v>2.7749026566119572</c:v>
                </c:pt>
                <c:pt idx="8">
                  <c:v>2.1024554797207187</c:v>
                </c:pt>
                <c:pt idx="9">
                  <c:v>0</c:v>
                </c:pt>
                <c:pt idx="10">
                  <c:v>5.5334009586272579</c:v>
                </c:pt>
              </c:numCache>
            </c:numRef>
          </c:val>
          <c:extLst>
            <c:ext xmlns:c16="http://schemas.microsoft.com/office/drawing/2014/chart" uri="{C3380CC4-5D6E-409C-BE32-E72D297353CC}">
              <c16:uniqueId val="{00000004-5F00-43AE-99B8-95A5548CF17D}"/>
            </c:ext>
          </c:extLst>
        </c:ser>
        <c:ser>
          <c:idx val="5"/>
          <c:order val="5"/>
          <c:tx>
            <c:strRef>
              <c:f>Mechanism!$G$197</c:f>
              <c:strCache>
                <c:ptCount val="1"/>
                <c:pt idx="0">
                  <c:v>2021-22p</c:v>
                </c:pt>
              </c:strCache>
            </c:strRef>
          </c:tx>
          <c:spPr>
            <a:solidFill>
              <a:srgbClr val="C00000"/>
            </a:solidFill>
            <a:ln>
              <a:solidFill>
                <a:sysClr val="windowText" lastClr="000000"/>
              </a:solidFill>
            </a:ln>
          </c:spPr>
          <c:invertIfNegative val="0"/>
          <c:cat>
            <c:strRef>
              <c:f>Mechanism!$A$198:$A$208</c:f>
              <c:strCache>
                <c:ptCount val="11"/>
                <c:pt idx="0">
                  <c:v>Aus Gov</c:v>
                </c:pt>
                <c:pt idx="1">
                  <c:v>ACT</c:v>
                </c:pt>
                <c:pt idx="2">
                  <c:v>NSW</c:v>
                </c:pt>
                <c:pt idx="3">
                  <c:v>QLD</c:v>
                </c:pt>
                <c:pt idx="4">
                  <c:v>TAS</c:v>
                </c:pt>
                <c:pt idx="5">
                  <c:v>NT</c:v>
                </c:pt>
                <c:pt idx="6">
                  <c:v>SA</c:v>
                </c:pt>
                <c:pt idx="7">
                  <c:v>VIC</c:v>
                </c:pt>
                <c:pt idx="8">
                  <c:v>WA</c:v>
                </c:pt>
                <c:pt idx="9">
                  <c:v>Seacare</c:v>
                </c:pt>
                <c:pt idx="10">
                  <c:v>Aus total</c:v>
                </c:pt>
              </c:strCache>
            </c:strRef>
          </c:cat>
          <c:val>
            <c:numRef>
              <c:f>Mechanism!$G$198:$G$208</c:f>
              <c:numCache>
                <c:formatCode>0.0</c:formatCode>
                <c:ptCount val="11"/>
                <c:pt idx="0">
                  <c:v>12.068965517241379</c:v>
                </c:pt>
                <c:pt idx="1">
                  <c:v>9.0848363393453582</c:v>
                </c:pt>
                <c:pt idx="2">
                  <c:v>6.4759680871764935</c:v>
                </c:pt>
                <c:pt idx="3">
                  <c:v>5.6177966647350459</c:v>
                </c:pt>
                <c:pt idx="4">
                  <c:v>5.4417788180222351</c:v>
                </c:pt>
                <c:pt idx="5">
                  <c:v>4.3068640646029612</c:v>
                </c:pt>
                <c:pt idx="6">
                  <c:v>2.9377399432482054</c:v>
                </c:pt>
                <c:pt idx="7">
                  <c:v>2.7841994170268367</c:v>
                </c:pt>
                <c:pt idx="8">
                  <c:v>2.7341079972658919</c:v>
                </c:pt>
                <c:pt idx="9">
                  <c:v>0</c:v>
                </c:pt>
                <c:pt idx="10">
                  <c:v>5.2561132158176527</c:v>
                </c:pt>
              </c:numCache>
            </c:numRef>
          </c:val>
          <c:extLst>
            <c:ext xmlns:c16="http://schemas.microsoft.com/office/drawing/2014/chart" uri="{C3380CC4-5D6E-409C-BE32-E72D297353CC}">
              <c16:uniqueId val="{00000005-5F00-43AE-99B8-95A5548CF17D}"/>
            </c:ext>
          </c:extLst>
        </c:ser>
        <c:dLbls>
          <c:showLegendKey val="0"/>
          <c:showVal val="0"/>
          <c:showCatName val="0"/>
          <c:showSerName val="0"/>
          <c:showPercent val="0"/>
          <c:showBubbleSize val="0"/>
        </c:dLbls>
        <c:gapWidth val="150"/>
        <c:axId val="479926528"/>
        <c:axId val="479952896"/>
      </c:barChart>
      <c:lineChart>
        <c:grouping val="standard"/>
        <c:varyColors val="0"/>
        <c:ser>
          <c:idx val="6"/>
          <c:order val="6"/>
          <c:tx>
            <c:strRef>
              <c:f>Mechanism!$H$197</c:f>
              <c:strCache>
                <c:ptCount val="1"/>
                <c:pt idx="0">
                  <c:v>2021-22p Aus</c:v>
                </c:pt>
              </c:strCache>
            </c:strRef>
          </c:tx>
          <c:spPr>
            <a:ln>
              <a:solidFill>
                <a:srgbClr val="C00000"/>
              </a:solidFill>
            </a:ln>
          </c:spPr>
          <c:marker>
            <c:symbol val="none"/>
          </c:marker>
          <c:cat>
            <c:strRef>
              <c:f>Mechanism!$A$198:$A$208</c:f>
              <c:strCache>
                <c:ptCount val="11"/>
                <c:pt idx="0">
                  <c:v>Aus Gov</c:v>
                </c:pt>
                <c:pt idx="1">
                  <c:v>ACT</c:v>
                </c:pt>
                <c:pt idx="2">
                  <c:v>NSW</c:v>
                </c:pt>
                <c:pt idx="3">
                  <c:v>QLD</c:v>
                </c:pt>
                <c:pt idx="4">
                  <c:v>TAS</c:v>
                </c:pt>
                <c:pt idx="5">
                  <c:v>NT</c:v>
                </c:pt>
                <c:pt idx="6">
                  <c:v>SA</c:v>
                </c:pt>
                <c:pt idx="7">
                  <c:v>VIC</c:v>
                </c:pt>
                <c:pt idx="8">
                  <c:v>WA</c:v>
                </c:pt>
                <c:pt idx="9">
                  <c:v>Seacare</c:v>
                </c:pt>
                <c:pt idx="10">
                  <c:v>Aus total</c:v>
                </c:pt>
              </c:strCache>
            </c:strRef>
          </c:cat>
          <c:val>
            <c:numRef>
              <c:f>Mechanism!$H$198:$H$208</c:f>
              <c:numCache>
                <c:formatCode>General</c:formatCode>
                <c:ptCount val="11"/>
                <c:pt idx="0">
                  <c:v>5.3</c:v>
                </c:pt>
                <c:pt idx="1">
                  <c:v>5.3</c:v>
                </c:pt>
                <c:pt idx="2">
                  <c:v>5.3</c:v>
                </c:pt>
                <c:pt idx="3">
                  <c:v>5.3</c:v>
                </c:pt>
                <c:pt idx="4">
                  <c:v>5.3</c:v>
                </c:pt>
                <c:pt idx="5">
                  <c:v>5.3</c:v>
                </c:pt>
                <c:pt idx="6">
                  <c:v>5.3</c:v>
                </c:pt>
                <c:pt idx="7">
                  <c:v>5.3</c:v>
                </c:pt>
                <c:pt idx="8">
                  <c:v>5.3</c:v>
                </c:pt>
                <c:pt idx="9">
                  <c:v>5.3</c:v>
                </c:pt>
              </c:numCache>
            </c:numRef>
          </c:val>
          <c:smooth val="0"/>
          <c:extLst>
            <c:ext xmlns:c16="http://schemas.microsoft.com/office/drawing/2014/chart" uri="{C3380CC4-5D6E-409C-BE32-E72D297353CC}">
              <c16:uniqueId val="{00000006-5F00-43AE-99B8-95A5548CF17D}"/>
            </c:ext>
          </c:extLst>
        </c:ser>
        <c:dLbls>
          <c:showLegendKey val="0"/>
          <c:showVal val="0"/>
          <c:showCatName val="0"/>
          <c:showSerName val="0"/>
          <c:showPercent val="0"/>
          <c:showBubbleSize val="0"/>
        </c:dLbls>
        <c:marker val="1"/>
        <c:smooth val="0"/>
        <c:axId val="479926528"/>
        <c:axId val="479952896"/>
      </c:lineChart>
      <c:catAx>
        <c:axId val="479926528"/>
        <c:scaling>
          <c:orientation val="minMax"/>
        </c:scaling>
        <c:delete val="0"/>
        <c:axPos val="b"/>
        <c:numFmt formatCode="General" sourceLinked="0"/>
        <c:majorTickMark val="out"/>
        <c:minorTickMark val="none"/>
        <c:tickLblPos val="nextTo"/>
        <c:crossAx val="479952896"/>
        <c:crosses val="autoZero"/>
        <c:auto val="1"/>
        <c:lblAlgn val="ctr"/>
        <c:lblOffset val="100"/>
        <c:noMultiLvlLbl val="0"/>
      </c:catAx>
      <c:valAx>
        <c:axId val="479952896"/>
        <c:scaling>
          <c:orientation val="minMax"/>
        </c:scaling>
        <c:delete val="0"/>
        <c:axPos val="l"/>
        <c:majorGridlines/>
        <c:title>
          <c:tx>
            <c:strRef>
              <c:f>'[1](b) Falls, Trips'!$L$12</c:f>
              <c:strCache>
                <c:ptCount val="1"/>
                <c:pt idx="0">
                  <c:v>Proportion of Claims (%)</c:v>
                </c:pt>
              </c:strCache>
            </c:strRef>
          </c:tx>
          <c:layout>
            <c:manualLayout>
              <c:xMode val="edge"/>
              <c:yMode val="edge"/>
              <c:x val="3.3333333333333333E-2"/>
              <c:y val="0.24327476426557795"/>
            </c:manualLayout>
          </c:layout>
          <c:overlay val="0"/>
          <c:txPr>
            <a:bodyPr rot="-5400000" vert="horz"/>
            <a:lstStyle/>
            <a:p>
              <a:pPr>
                <a:defRPr b="0"/>
              </a:pPr>
              <a:endParaRPr lang="en-US"/>
            </a:p>
          </c:txPr>
        </c:title>
        <c:numFmt formatCode="0.0" sourceLinked="1"/>
        <c:majorTickMark val="out"/>
        <c:minorTickMark val="none"/>
        <c:tickLblPos val="nextTo"/>
        <c:crossAx val="479926528"/>
        <c:crosses val="autoZero"/>
        <c:crossBetween val="between"/>
      </c:valAx>
      <c:dTable>
        <c:showHorzBorder val="0"/>
        <c:showVertBorder val="0"/>
        <c:showOutline val="0"/>
        <c:showKeys val="1"/>
      </c:dTable>
      <c:spPr>
        <a:ln>
          <a:solidFill>
            <a:schemeClr val="bg1">
              <a:lumMod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Mechanism!$B$224</c:f>
              <c:strCache>
                <c:ptCount val="1"/>
                <c:pt idx="0">
                  <c:v>2016-17</c:v>
                </c:pt>
              </c:strCache>
            </c:strRef>
          </c:tx>
          <c:spPr>
            <a:solidFill>
              <a:sysClr val="window" lastClr="FFFFFF"/>
            </a:solidFill>
            <a:ln>
              <a:solidFill>
                <a:sysClr val="windowText" lastClr="000000"/>
              </a:solidFill>
            </a:ln>
          </c:spPr>
          <c:invertIfNegative val="0"/>
          <c:cat>
            <c:strRef>
              <c:f>Mechanism!$A$225:$A$235</c:f>
              <c:strCache>
                <c:ptCount val="11"/>
                <c:pt idx="0">
                  <c:v>NT</c:v>
                </c:pt>
                <c:pt idx="1">
                  <c:v>WA</c:v>
                </c:pt>
                <c:pt idx="2">
                  <c:v>QLD</c:v>
                </c:pt>
                <c:pt idx="3">
                  <c:v>NSW</c:v>
                </c:pt>
                <c:pt idx="4">
                  <c:v>TAS</c:v>
                </c:pt>
                <c:pt idx="5">
                  <c:v>ACT</c:v>
                </c:pt>
                <c:pt idx="6">
                  <c:v>SA</c:v>
                </c:pt>
                <c:pt idx="7">
                  <c:v>VIC</c:v>
                </c:pt>
                <c:pt idx="8">
                  <c:v>Aus Gov</c:v>
                </c:pt>
                <c:pt idx="9">
                  <c:v>Seacare</c:v>
                </c:pt>
                <c:pt idx="10">
                  <c:v>Aus total</c:v>
                </c:pt>
              </c:strCache>
            </c:strRef>
          </c:cat>
          <c:val>
            <c:numRef>
              <c:f>Mechanism!$B$225:$B$235</c:f>
              <c:numCache>
                <c:formatCode>0.0</c:formatCode>
                <c:ptCount val="11"/>
                <c:pt idx="0">
                  <c:v>1.5429831006612784</c:v>
                </c:pt>
                <c:pt idx="1">
                  <c:v>1.5225334957369063</c:v>
                </c:pt>
                <c:pt idx="2">
                  <c:v>1.5404021099304335</c:v>
                </c:pt>
                <c:pt idx="3">
                  <c:v>1.530158183331898</c:v>
                </c:pt>
                <c:pt idx="4">
                  <c:v>0.94100615273253718</c:v>
                </c:pt>
                <c:pt idx="5">
                  <c:v>0.96045197740112997</c:v>
                </c:pt>
                <c:pt idx="6">
                  <c:v>1.2597671822675809</c:v>
                </c:pt>
                <c:pt idx="7">
                  <c:v>0.57975726051148679</c:v>
                </c:pt>
                <c:pt idx="8">
                  <c:v>0.39303761931499154</c:v>
                </c:pt>
                <c:pt idx="9">
                  <c:v>0</c:v>
                </c:pt>
                <c:pt idx="10">
                  <c:v>1.3033412410323835</c:v>
                </c:pt>
              </c:numCache>
            </c:numRef>
          </c:val>
          <c:extLst>
            <c:ext xmlns:c16="http://schemas.microsoft.com/office/drawing/2014/chart" uri="{C3380CC4-5D6E-409C-BE32-E72D297353CC}">
              <c16:uniqueId val="{00000000-8B19-40DE-83D1-70980AACA615}"/>
            </c:ext>
          </c:extLst>
        </c:ser>
        <c:ser>
          <c:idx val="1"/>
          <c:order val="1"/>
          <c:tx>
            <c:strRef>
              <c:f>Mechanism!$C$224</c:f>
              <c:strCache>
                <c:ptCount val="1"/>
                <c:pt idx="0">
                  <c:v>2017-18</c:v>
                </c:pt>
              </c:strCache>
            </c:strRef>
          </c:tx>
          <c:spPr>
            <a:solidFill>
              <a:srgbClr val="E7E6E6">
                <a:lumMod val="90000"/>
              </a:srgbClr>
            </a:solidFill>
            <a:ln>
              <a:solidFill>
                <a:sysClr val="windowText" lastClr="000000"/>
              </a:solidFill>
            </a:ln>
          </c:spPr>
          <c:invertIfNegative val="0"/>
          <c:cat>
            <c:strRef>
              <c:f>Mechanism!$A$225:$A$235</c:f>
              <c:strCache>
                <c:ptCount val="11"/>
                <c:pt idx="0">
                  <c:v>NT</c:v>
                </c:pt>
                <c:pt idx="1">
                  <c:v>WA</c:v>
                </c:pt>
                <c:pt idx="2">
                  <c:v>QLD</c:v>
                </c:pt>
                <c:pt idx="3">
                  <c:v>NSW</c:v>
                </c:pt>
                <c:pt idx="4">
                  <c:v>TAS</c:v>
                </c:pt>
                <c:pt idx="5">
                  <c:v>ACT</c:v>
                </c:pt>
                <c:pt idx="6">
                  <c:v>SA</c:v>
                </c:pt>
                <c:pt idx="7">
                  <c:v>VIC</c:v>
                </c:pt>
                <c:pt idx="8">
                  <c:v>Aus Gov</c:v>
                </c:pt>
                <c:pt idx="9">
                  <c:v>Seacare</c:v>
                </c:pt>
                <c:pt idx="10">
                  <c:v>Aus total</c:v>
                </c:pt>
              </c:strCache>
            </c:strRef>
          </c:cat>
          <c:val>
            <c:numRef>
              <c:f>Mechanism!$C$225:$C$235</c:f>
              <c:numCache>
                <c:formatCode>0.0</c:formatCode>
                <c:ptCount val="11"/>
                <c:pt idx="0">
                  <c:v>1.3188518231186968</c:v>
                </c:pt>
                <c:pt idx="1">
                  <c:v>1.7614365113296282</c:v>
                </c:pt>
                <c:pt idx="2">
                  <c:v>1.5624422856720717</c:v>
                </c:pt>
                <c:pt idx="3">
                  <c:v>1.3393839383938395</c:v>
                </c:pt>
                <c:pt idx="4">
                  <c:v>1.6556291390728477</c:v>
                </c:pt>
                <c:pt idx="5">
                  <c:v>1.1198208286674132</c:v>
                </c:pt>
                <c:pt idx="6">
                  <c:v>0.968715261235509</c:v>
                </c:pt>
                <c:pt idx="7">
                  <c:v>0.63311342838901896</c:v>
                </c:pt>
                <c:pt idx="8">
                  <c:v>0.70118662351672068</c:v>
                </c:pt>
                <c:pt idx="9">
                  <c:v>0</c:v>
                </c:pt>
                <c:pt idx="10">
                  <c:v>1.2893425464515293</c:v>
                </c:pt>
              </c:numCache>
            </c:numRef>
          </c:val>
          <c:extLst>
            <c:ext xmlns:c16="http://schemas.microsoft.com/office/drawing/2014/chart" uri="{C3380CC4-5D6E-409C-BE32-E72D297353CC}">
              <c16:uniqueId val="{00000001-8B19-40DE-83D1-70980AACA615}"/>
            </c:ext>
          </c:extLst>
        </c:ser>
        <c:ser>
          <c:idx val="2"/>
          <c:order val="2"/>
          <c:tx>
            <c:strRef>
              <c:f>Mechanism!$D$224</c:f>
              <c:strCache>
                <c:ptCount val="1"/>
                <c:pt idx="0">
                  <c:v>2018-19</c:v>
                </c:pt>
              </c:strCache>
            </c:strRef>
          </c:tx>
          <c:spPr>
            <a:solidFill>
              <a:srgbClr val="E7E6E6">
                <a:lumMod val="75000"/>
              </a:srgbClr>
            </a:solidFill>
            <a:ln>
              <a:solidFill>
                <a:sysClr val="windowText" lastClr="000000"/>
              </a:solidFill>
            </a:ln>
          </c:spPr>
          <c:invertIfNegative val="0"/>
          <c:cat>
            <c:strRef>
              <c:f>Mechanism!$A$225:$A$235</c:f>
              <c:strCache>
                <c:ptCount val="11"/>
                <c:pt idx="0">
                  <c:v>NT</c:v>
                </c:pt>
                <c:pt idx="1">
                  <c:v>WA</c:v>
                </c:pt>
                <c:pt idx="2">
                  <c:v>QLD</c:v>
                </c:pt>
                <c:pt idx="3">
                  <c:v>NSW</c:v>
                </c:pt>
                <c:pt idx="4">
                  <c:v>TAS</c:v>
                </c:pt>
                <c:pt idx="5">
                  <c:v>ACT</c:v>
                </c:pt>
                <c:pt idx="6">
                  <c:v>SA</c:v>
                </c:pt>
                <c:pt idx="7">
                  <c:v>VIC</c:v>
                </c:pt>
                <c:pt idx="8">
                  <c:v>Aus Gov</c:v>
                </c:pt>
                <c:pt idx="9">
                  <c:v>Seacare</c:v>
                </c:pt>
                <c:pt idx="10">
                  <c:v>Aus total</c:v>
                </c:pt>
              </c:strCache>
            </c:strRef>
          </c:cat>
          <c:val>
            <c:numRef>
              <c:f>Mechanism!$D$225:$D$235</c:f>
              <c:numCache>
                <c:formatCode>0.0</c:formatCode>
                <c:ptCount val="11"/>
                <c:pt idx="0">
                  <c:v>1.1173184357541899</c:v>
                </c:pt>
                <c:pt idx="1">
                  <c:v>1.9044380207447711</c:v>
                </c:pt>
                <c:pt idx="2">
                  <c:v>1.4237334992051973</c:v>
                </c:pt>
                <c:pt idx="3">
                  <c:v>1.4391228203761517</c:v>
                </c:pt>
                <c:pt idx="4">
                  <c:v>1.4303104077906268</c:v>
                </c:pt>
                <c:pt idx="5">
                  <c:v>0.69444444444444442</c:v>
                </c:pt>
                <c:pt idx="6">
                  <c:v>1.1166617690273288</c:v>
                </c:pt>
                <c:pt idx="7">
                  <c:v>0.67543547813722005</c:v>
                </c:pt>
                <c:pt idx="8">
                  <c:v>0</c:v>
                </c:pt>
                <c:pt idx="9">
                  <c:v>0</c:v>
                </c:pt>
                <c:pt idx="10">
                  <c:v>1.2966430095354204</c:v>
                </c:pt>
              </c:numCache>
            </c:numRef>
          </c:val>
          <c:extLst>
            <c:ext xmlns:c16="http://schemas.microsoft.com/office/drawing/2014/chart" uri="{C3380CC4-5D6E-409C-BE32-E72D297353CC}">
              <c16:uniqueId val="{00000002-8B19-40DE-83D1-70980AACA615}"/>
            </c:ext>
          </c:extLst>
        </c:ser>
        <c:ser>
          <c:idx val="3"/>
          <c:order val="3"/>
          <c:tx>
            <c:strRef>
              <c:f>Mechanism!$E$224</c:f>
              <c:strCache>
                <c:ptCount val="1"/>
                <c:pt idx="0">
                  <c:v>2019-20</c:v>
                </c:pt>
              </c:strCache>
            </c:strRef>
          </c:tx>
          <c:spPr>
            <a:solidFill>
              <a:srgbClr val="E7E6E6">
                <a:lumMod val="50000"/>
              </a:srgbClr>
            </a:solidFill>
            <a:ln>
              <a:solidFill>
                <a:sysClr val="windowText" lastClr="000000"/>
              </a:solidFill>
            </a:ln>
          </c:spPr>
          <c:invertIfNegative val="0"/>
          <c:cat>
            <c:strRef>
              <c:f>Mechanism!$A$225:$A$235</c:f>
              <c:strCache>
                <c:ptCount val="11"/>
                <c:pt idx="0">
                  <c:v>NT</c:v>
                </c:pt>
                <c:pt idx="1">
                  <c:v>WA</c:v>
                </c:pt>
                <c:pt idx="2">
                  <c:v>QLD</c:v>
                </c:pt>
                <c:pt idx="3">
                  <c:v>NSW</c:v>
                </c:pt>
                <c:pt idx="4">
                  <c:v>TAS</c:v>
                </c:pt>
                <c:pt idx="5">
                  <c:v>ACT</c:v>
                </c:pt>
                <c:pt idx="6">
                  <c:v>SA</c:v>
                </c:pt>
                <c:pt idx="7">
                  <c:v>VIC</c:v>
                </c:pt>
                <c:pt idx="8">
                  <c:v>Aus Gov</c:v>
                </c:pt>
                <c:pt idx="9">
                  <c:v>Seacare</c:v>
                </c:pt>
                <c:pt idx="10">
                  <c:v>Aus total</c:v>
                </c:pt>
              </c:strCache>
            </c:strRef>
          </c:cat>
          <c:val>
            <c:numRef>
              <c:f>Mechanism!$E$225:$E$235</c:f>
              <c:numCache>
                <c:formatCode>0.0</c:formatCode>
                <c:ptCount val="11"/>
                <c:pt idx="0">
                  <c:v>1.4873140857392826</c:v>
                </c:pt>
                <c:pt idx="1">
                  <c:v>1.5714533773224519</c:v>
                </c:pt>
                <c:pt idx="2">
                  <c:v>1.4572950678810792</c:v>
                </c:pt>
                <c:pt idx="3">
                  <c:v>1.5984174984652464</c:v>
                </c:pt>
                <c:pt idx="4">
                  <c:v>0.95975232198142413</c:v>
                </c:pt>
                <c:pt idx="5">
                  <c:v>0.57903879559930516</c:v>
                </c:pt>
                <c:pt idx="6">
                  <c:v>0.94590600059119134</c:v>
                </c:pt>
                <c:pt idx="7">
                  <c:v>0.8217382536801775</c:v>
                </c:pt>
                <c:pt idx="8">
                  <c:v>0.40506329113924056</c:v>
                </c:pt>
                <c:pt idx="9">
                  <c:v>0</c:v>
                </c:pt>
                <c:pt idx="10">
                  <c:v>1.3413091378255879</c:v>
                </c:pt>
              </c:numCache>
            </c:numRef>
          </c:val>
          <c:extLst>
            <c:ext xmlns:c16="http://schemas.microsoft.com/office/drawing/2014/chart" uri="{C3380CC4-5D6E-409C-BE32-E72D297353CC}">
              <c16:uniqueId val="{00000003-8B19-40DE-83D1-70980AACA615}"/>
            </c:ext>
          </c:extLst>
        </c:ser>
        <c:ser>
          <c:idx val="4"/>
          <c:order val="4"/>
          <c:tx>
            <c:strRef>
              <c:f>Mechanism!$F$224</c:f>
              <c:strCache>
                <c:ptCount val="1"/>
                <c:pt idx="0">
                  <c:v>2020-21</c:v>
                </c:pt>
              </c:strCache>
            </c:strRef>
          </c:tx>
          <c:spPr>
            <a:solidFill>
              <a:srgbClr val="E7E6E6">
                <a:lumMod val="25000"/>
              </a:srgbClr>
            </a:solidFill>
            <a:ln>
              <a:solidFill>
                <a:sysClr val="windowText" lastClr="000000"/>
              </a:solidFill>
            </a:ln>
          </c:spPr>
          <c:invertIfNegative val="0"/>
          <c:cat>
            <c:strRef>
              <c:f>Mechanism!$A$225:$A$235</c:f>
              <c:strCache>
                <c:ptCount val="11"/>
                <c:pt idx="0">
                  <c:v>NT</c:v>
                </c:pt>
                <c:pt idx="1">
                  <c:v>WA</c:v>
                </c:pt>
                <c:pt idx="2">
                  <c:v>QLD</c:v>
                </c:pt>
                <c:pt idx="3">
                  <c:v>NSW</c:v>
                </c:pt>
                <c:pt idx="4">
                  <c:v>TAS</c:v>
                </c:pt>
                <c:pt idx="5">
                  <c:v>ACT</c:v>
                </c:pt>
                <c:pt idx="6">
                  <c:v>SA</c:v>
                </c:pt>
                <c:pt idx="7">
                  <c:v>VIC</c:v>
                </c:pt>
                <c:pt idx="8">
                  <c:v>Aus Gov</c:v>
                </c:pt>
                <c:pt idx="9">
                  <c:v>Seacare</c:v>
                </c:pt>
                <c:pt idx="10">
                  <c:v>Aus total</c:v>
                </c:pt>
              </c:strCache>
            </c:strRef>
          </c:cat>
          <c:val>
            <c:numRef>
              <c:f>Mechanism!$F$225:$F$235</c:f>
              <c:numCache>
                <c:formatCode>0.0</c:formatCode>
                <c:ptCount val="11"/>
                <c:pt idx="0">
                  <c:v>0.93545369504209541</c:v>
                </c:pt>
                <c:pt idx="1">
                  <c:v>1.4199419471248138</c:v>
                </c:pt>
                <c:pt idx="2">
                  <c:v>1.3496143958868894</c:v>
                </c:pt>
                <c:pt idx="3">
                  <c:v>1.5058794043317532</c:v>
                </c:pt>
                <c:pt idx="4">
                  <c:v>1.0752688172043012</c:v>
                </c:pt>
                <c:pt idx="5">
                  <c:v>1.0479867622724766</c:v>
                </c:pt>
                <c:pt idx="6">
                  <c:v>1.152860802732707</c:v>
                </c:pt>
                <c:pt idx="7">
                  <c:v>0.87732268717038797</c:v>
                </c:pt>
                <c:pt idx="8">
                  <c:v>0.28208744710860367</c:v>
                </c:pt>
                <c:pt idx="9">
                  <c:v>0</c:v>
                </c:pt>
                <c:pt idx="10">
                  <c:v>1.2962375041620531</c:v>
                </c:pt>
              </c:numCache>
            </c:numRef>
          </c:val>
          <c:extLst>
            <c:ext xmlns:c16="http://schemas.microsoft.com/office/drawing/2014/chart" uri="{C3380CC4-5D6E-409C-BE32-E72D297353CC}">
              <c16:uniqueId val="{00000004-8B19-40DE-83D1-70980AACA615}"/>
            </c:ext>
          </c:extLst>
        </c:ser>
        <c:ser>
          <c:idx val="5"/>
          <c:order val="5"/>
          <c:tx>
            <c:strRef>
              <c:f>Mechanism!$G$224</c:f>
              <c:strCache>
                <c:ptCount val="1"/>
                <c:pt idx="0">
                  <c:v>2021-22p</c:v>
                </c:pt>
              </c:strCache>
            </c:strRef>
          </c:tx>
          <c:spPr>
            <a:solidFill>
              <a:srgbClr val="C00000"/>
            </a:solidFill>
            <a:ln>
              <a:solidFill>
                <a:sysClr val="windowText" lastClr="000000"/>
              </a:solidFill>
            </a:ln>
          </c:spPr>
          <c:invertIfNegative val="0"/>
          <c:cat>
            <c:strRef>
              <c:f>Mechanism!$A$225:$A$235</c:f>
              <c:strCache>
                <c:ptCount val="11"/>
                <c:pt idx="0">
                  <c:v>NT</c:v>
                </c:pt>
                <c:pt idx="1">
                  <c:v>WA</c:v>
                </c:pt>
                <c:pt idx="2">
                  <c:v>QLD</c:v>
                </c:pt>
                <c:pt idx="3">
                  <c:v>NSW</c:v>
                </c:pt>
                <c:pt idx="4">
                  <c:v>TAS</c:v>
                </c:pt>
                <c:pt idx="5">
                  <c:v>ACT</c:v>
                </c:pt>
                <c:pt idx="6">
                  <c:v>SA</c:v>
                </c:pt>
                <c:pt idx="7">
                  <c:v>VIC</c:v>
                </c:pt>
                <c:pt idx="8">
                  <c:v>Aus Gov</c:v>
                </c:pt>
                <c:pt idx="9">
                  <c:v>Seacare</c:v>
                </c:pt>
                <c:pt idx="10">
                  <c:v>Aus total</c:v>
                </c:pt>
              </c:strCache>
            </c:strRef>
          </c:cat>
          <c:val>
            <c:numRef>
              <c:f>Mechanism!$G$225:$G$235</c:f>
              <c:numCache>
                <c:formatCode>0.0</c:formatCode>
                <c:ptCount val="11"/>
                <c:pt idx="0">
                  <c:v>1.8842530282637955</c:v>
                </c:pt>
                <c:pt idx="1">
                  <c:v>1.8540669856459329</c:v>
                </c:pt>
                <c:pt idx="2">
                  <c:v>1.4293992659841608</c:v>
                </c:pt>
                <c:pt idx="3">
                  <c:v>1.204514496983849</c:v>
                </c:pt>
                <c:pt idx="4">
                  <c:v>1.1702750146284377</c:v>
                </c:pt>
                <c:pt idx="5">
                  <c:v>1.1356045424181698</c:v>
                </c:pt>
                <c:pt idx="6">
                  <c:v>0.96811884493406775</c:v>
                </c:pt>
                <c:pt idx="7">
                  <c:v>0.65835762388179708</c:v>
                </c:pt>
                <c:pt idx="8">
                  <c:v>0.50709939148073024</c:v>
                </c:pt>
                <c:pt idx="9">
                  <c:v>0</c:v>
                </c:pt>
                <c:pt idx="10">
                  <c:v>1.2140330004070259</c:v>
                </c:pt>
              </c:numCache>
            </c:numRef>
          </c:val>
          <c:extLst>
            <c:ext xmlns:c16="http://schemas.microsoft.com/office/drawing/2014/chart" uri="{C3380CC4-5D6E-409C-BE32-E72D297353CC}">
              <c16:uniqueId val="{00000005-8B19-40DE-83D1-70980AACA615}"/>
            </c:ext>
          </c:extLst>
        </c:ser>
        <c:dLbls>
          <c:showLegendKey val="0"/>
          <c:showVal val="0"/>
          <c:showCatName val="0"/>
          <c:showSerName val="0"/>
          <c:showPercent val="0"/>
          <c:showBubbleSize val="0"/>
        </c:dLbls>
        <c:gapWidth val="150"/>
        <c:axId val="69306240"/>
        <c:axId val="69307776"/>
      </c:barChart>
      <c:lineChart>
        <c:grouping val="standard"/>
        <c:varyColors val="0"/>
        <c:ser>
          <c:idx val="6"/>
          <c:order val="6"/>
          <c:tx>
            <c:strRef>
              <c:f>Mechanism!$H$224</c:f>
              <c:strCache>
                <c:ptCount val="1"/>
                <c:pt idx="0">
                  <c:v>2021-22p Aus</c:v>
                </c:pt>
              </c:strCache>
            </c:strRef>
          </c:tx>
          <c:spPr>
            <a:ln>
              <a:solidFill>
                <a:srgbClr val="C00000"/>
              </a:solidFill>
            </a:ln>
          </c:spPr>
          <c:marker>
            <c:symbol val="none"/>
          </c:marker>
          <c:cat>
            <c:strRef>
              <c:f>Mechanism!$A$225:$A$235</c:f>
              <c:strCache>
                <c:ptCount val="11"/>
                <c:pt idx="0">
                  <c:v>NT</c:v>
                </c:pt>
                <c:pt idx="1">
                  <c:v>WA</c:v>
                </c:pt>
                <c:pt idx="2">
                  <c:v>QLD</c:v>
                </c:pt>
                <c:pt idx="3">
                  <c:v>NSW</c:v>
                </c:pt>
                <c:pt idx="4">
                  <c:v>TAS</c:v>
                </c:pt>
                <c:pt idx="5">
                  <c:v>ACT</c:v>
                </c:pt>
                <c:pt idx="6">
                  <c:v>SA</c:v>
                </c:pt>
                <c:pt idx="7">
                  <c:v>VIC</c:v>
                </c:pt>
                <c:pt idx="8">
                  <c:v>Aus Gov</c:v>
                </c:pt>
                <c:pt idx="9">
                  <c:v>Seacare</c:v>
                </c:pt>
                <c:pt idx="10">
                  <c:v>Aus total</c:v>
                </c:pt>
              </c:strCache>
            </c:strRef>
          </c:cat>
          <c:val>
            <c:numRef>
              <c:f>Mechanism!$H$225:$H$235</c:f>
              <c:numCache>
                <c:formatCode>General</c:formatCode>
                <c:ptCount val="11"/>
                <c:pt idx="0">
                  <c:v>1.2</c:v>
                </c:pt>
                <c:pt idx="1">
                  <c:v>1.2</c:v>
                </c:pt>
                <c:pt idx="2">
                  <c:v>1.2</c:v>
                </c:pt>
                <c:pt idx="3">
                  <c:v>1.2</c:v>
                </c:pt>
                <c:pt idx="4">
                  <c:v>1.2</c:v>
                </c:pt>
                <c:pt idx="5">
                  <c:v>1.2</c:v>
                </c:pt>
                <c:pt idx="6">
                  <c:v>1.2</c:v>
                </c:pt>
                <c:pt idx="7">
                  <c:v>1.2</c:v>
                </c:pt>
                <c:pt idx="8">
                  <c:v>1.2</c:v>
                </c:pt>
                <c:pt idx="9">
                  <c:v>1.2</c:v>
                </c:pt>
              </c:numCache>
            </c:numRef>
          </c:val>
          <c:smooth val="0"/>
          <c:extLst>
            <c:ext xmlns:c16="http://schemas.microsoft.com/office/drawing/2014/chart" uri="{C3380CC4-5D6E-409C-BE32-E72D297353CC}">
              <c16:uniqueId val="{00000006-8B19-40DE-83D1-70980AACA615}"/>
            </c:ext>
          </c:extLst>
        </c:ser>
        <c:dLbls>
          <c:showLegendKey val="0"/>
          <c:showVal val="0"/>
          <c:showCatName val="0"/>
          <c:showSerName val="0"/>
          <c:showPercent val="0"/>
          <c:showBubbleSize val="0"/>
        </c:dLbls>
        <c:marker val="1"/>
        <c:smooth val="0"/>
        <c:axId val="69306240"/>
        <c:axId val="69307776"/>
      </c:lineChart>
      <c:catAx>
        <c:axId val="69306240"/>
        <c:scaling>
          <c:orientation val="minMax"/>
        </c:scaling>
        <c:delete val="0"/>
        <c:axPos val="b"/>
        <c:numFmt formatCode="General" sourceLinked="0"/>
        <c:majorTickMark val="out"/>
        <c:minorTickMark val="none"/>
        <c:tickLblPos val="nextTo"/>
        <c:crossAx val="69307776"/>
        <c:crosses val="autoZero"/>
        <c:auto val="1"/>
        <c:lblAlgn val="ctr"/>
        <c:lblOffset val="100"/>
        <c:noMultiLvlLbl val="0"/>
      </c:catAx>
      <c:valAx>
        <c:axId val="69307776"/>
        <c:scaling>
          <c:orientation val="minMax"/>
          <c:max val="2.5"/>
        </c:scaling>
        <c:delete val="0"/>
        <c:axPos val="l"/>
        <c:majorGridlines/>
        <c:title>
          <c:tx>
            <c:strRef>
              <c:f>'[3](b) Falls, Trips'!$L$12</c:f>
              <c:strCache>
                <c:ptCount val="1"/>
                <c:pt idx="0">
                  <c:v>Proportion of Claims (%)</c:v>
                </c:pt>
              </c:strCache>
            </c:strRef>
          </c:tx>
          <c:layout>
            <c:manualLayout>
              <c:xMode val="edge"/>
              <c:yMode val="edge"/>
              <c:x val="8.8499893910460425E-2"/>
              <c:y val="0.1273001228381806"/>
            </c:manualLayout>
          </c:layout>
          <c:overlay val="0"/>
          <c:txPr>
            <a:bodyPr rot="-5400000" vert="horz"/>
            <a:lstStyle/>
            <a:p>
              <a:pPr>
                <a:defRPr b="0"/>
              </a:pPr>
              <a:endParaRPr lang="en-US"/>
            </a:p>
          </c:txPr>
        </c:title>
        <c:numFmt formatCode="0.0" sourceLinked="1"/>
        <c:majorTickMark val="out"/>
        <c:minorTickMark val="none"/>
        <c:tickLblPos val="nextTo"/>
        <c:crossAx val="69306240"/>
        <c:crosses val="autoZero"/>
        <c:crossBetween val="between"/>
      </c:valAx>
      <c:dTable>
        <c:showHorzBorder val="0"/>
        <c:showVertBorder val="0"/>
        <c:showOutline val="0"/>
        <c:showKeys val="1"/>
      </c:dTable>
      <c:spPr>
        <a:ln>
          <a:solidFill>
            <a:schemeClr val="bg1">
              <a:lumMod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142883716027585"/>
          <c:y val="3.4151072554668288E-2"/>
          <c:w val="0.80635045627240864"/>
          <c:h val="0.60706136120007803"/>
        </c:manualLayout>
      </c:layout>
      <c:barChart>
        <c:barDir val="col"/>
        <c:grouping val="clustered"/>
        <c:varyColors val="0"/>
        <c:ser>
          <c:idx val="6"/>
          <c:order val="0"/>
          <c:tx>
            <c:strRef>
              <c:f>'Frequency rate'!$B$5</c:f>
              <c:strCache>
                <c:ptCount val="1"/>
                <c:pt idx="0">
                  <c:v>2016-17</c:v>
                </c:pt>
              </c:strCache>
            </c:strRef>
          </c:tx>
          <c:spPr>
            <a:solidFill>
              <a:sysClr val="window" lastClr="FFFFFF"/>
            </a:solidFill>
            <a:ln w="6350">
              <a:solidFill>
                <a:sysClr val="windowText" lastClr="000000"/>
              </a:solidFill>
            </a:ln>
          </c:spPr>
          <c:invertIfNegative val="0"/>
          <c:cat>
            <c:strRef>
              <c:f>'Frequency rate'!$A$6:$A$15</c:f>
              <c:strCache>
                <c:ptCount val="10"/>
                <c:pt idx="0">
                  <c:v>TAS</c:v>
                </c:pt>
                <c:pt idx="1">
                  <c:v>NSW</c:v>
                </c:pt>
                <c:pt idx="2">
                  <c:v>QLD</c:v>
                </c:pt>
                <c:pt idx="3">
                  <c:v>WA</c:v>
                </c:pt>
                <c:pt idx="4">
                  <c:v>ACT</c:v>
                </c:pt>
                <c:pt idx="5">
                  <c:v>SA</c:v>
                </c:pt>
                <c:pt idx="6">
                  <c:v>VIC</c:v>
                </c:pt>
                <c:pt idx="7">
                  <c:v>NT</c:v>
                </c:pt>
                <c:pt idx="8">
                  <c:v>Aus Gov</c:v>
                </c:pt>
                <c:pt idx="9">
                  <c:v>Aus total</c:v>
                </c:pt>
              </c:strCache>
            </c:strRef>
          </c:cat>
          <c:val>
            <c:numRef>
              <c:f>'Frequency rate'!$B$6:$B$15</c:f>
              <c:numCache>
                <c:formatCode>0.0</c:formatCode>
                <c:ptCount val="10"/>
                <c:pt idx="0">
                  <c:v>8.1999999999999993</c:v>
                </c:pt>
                <c:pt idx="1">
                  <c:v>6</c:v>
                </c:pt>
                <c:pt idx="2">
                  <c:v>7.2</c:v>
                </c:pt>
                <c:pt idx="3">
                  <c:v>5.7</c:v>
                </c:pt>
                <c:pt idx="4">
                  <c:v>6.6</c:v>
                </c:pt>
                <c:pt idx="5">
                  <c:v>5.3</c:v>
                </c:pt>
                <c:pt idx="6">
                  <c:v>4</c:v>
                </c:pt>
                <c:pt idx="7">
                  <c:v>5.5</c:v>
                </c:pt>
                <c:pt idx="8">
                  <c:v>2.5</c:v>
                </c:pt>
                <c:pt idx="9">
                  <c:v>5.6</c:v>
                </c:pt>
              </c:numCache>
            </c:numRef>
          </c:val>
          <c:extLst>
            <c:ext xmlns:c16="http://schemas.microsoft.com/office/drawing/2014/chart" uri="{C3380CC4-5D6E-409C-BE32-E72D297353CC}">
              <c16:uniqueId val="{00000000-8981-443A-B99F-E494099277C4}"/>
            </c:ext>
          </c:extLst>
        </c:ser>
        <c:ser>
          <c:idx val="0"/>
          <c:order val="1"/>
          <c:tx>
            <c:strRef>
              <c:f>'Frequency rate'!$C$5</c:f>
              <c:strCache>
                <c:ptCount val="1"/>
                <c:pt idx="0">
                  <c:v>2017-18</c:v>
                </c:pt>
              </c:strCache>
            </c:strRef>
          </c:tx>
          <c:spPr>
            <a:solidFill>
              <a:srgbClr val="D9D9D9"/>
            </a:solidFill>
            <a:ln w="6350">
              <a:solidFill>
                <a:sysClr val="windowText" lastClr="000000"/>
              </a:solidFill>
            </a:ln>
          </c:spPr>
          <c:invertIfNegative val="0"/>
          <c:cat>
            <c:strRef>
              <c:f>'Frequency rate'!$A$6:$A$15</c:f>
              <c:strCache>
                <c:ptCount val="10"/>
                <c:pt idx="0">
                  <c:v>TAS</c:v>
                </c:pt>
                <c:pt idx="1">
                  <c:v>NSW</c:v>
                </c:pt>
                <c:pt idx="2">
                  <c:v>QLD</c:v>
                </c:pt>
                <c:pt idx="3">
                  <c:v>WA</c:v>
                </c:pt>
                <c:pt idx="4">
                  <c:v>ACT</c:v>
                </c:pt>
                <c:pt idx="5">
                  <c:v>SA</c:v>
                </c:pt>
                <c:pt idx="6">
                  <c:v>VIC</c:v>
                </c:pt>
                <c:pt idx="7">
                  <c:v>NT</c:v>
                </c:pt>
                <c:pt idx="8">
                  <c:v>Aus Gov</c:v>
                </c:pt>
                <c:pt idx="9">
                  <c:v>Aus total</c:v>
                </c:pt>
              </c:strCache>
            </c:strRef>
          </c:cat>
          <c:val>
            <c:numRef>
              <c:f>'Frequency rate'!$C$6:$C$15</c:f>
              <c:numCache>
                <c:formatCode>0.0</c:formatCode>
                <c:ptCount val="10"/>
                <c:pt idx="0">
                  <c:v>7.9</c:v>
                </c:pt>
                <c:pt idx="1">
                  <c:v>6</c:v>
                </c:pt>
                <c:pt idx="2">
                  <c:v>7.1</c:v>
                </c:pt>
                <c:pt idx="3">
                  <c:v>5.6</c:v>
                </c:pt>
                <c:pt idx="4">
                  <c:v>6.5</c:v>
                </c:pt>
                <c:pt idx="5">
                  <c:v>5.0999999999999996</c:v>
                </c:pt>
                <c:pt idx="6">
                  <c:v>3.9</c:v>
                </c:pt>
                <c:pt idx="7">
                  <c:v>5.0999999999999996</c:v>
                </c:pt>
                <c:pt idx="8">
                  <c:v>2.6</c:v>
                </c:pt>
                <c:pt idx="9">
                  <c:v>5.5</c:v>
                </c:pt>
              </c:numCache>
            </c:numRef>
          </c:val>
          <c:extLst>
            <c:ext xmlns:c16="http://schemas.microsoft.com/office/drawing/2014/chart" uri="{C3380CC4-5D6E-409C-BE32-E72D297353CC}">
              <c16:uniqueId val="{00000001-8981-443A-B99F-E494099277C4}"/>
            </c:ext>
          </c:extLst>
        </c:ser>
        <c:ser>
          <c:idx val="1"/>
          <c:order val="2"/>
          <c:tx>
            <c:strRef>
              <c:f>'Frequency rate'!$D$5</c:f>
              <c:strCache>
                <c:ptCount val="1"/>
                <c:pt idx="0">
                  <c:v>2018-19</c:v>
                </c:pt>
              </c:strCache>
            </c:strRef>
          </c:tx>
          <c:spPr>
            <a:solidFill>
              <a:srgbClr val="A6A6A6"/>
            </a:solidFill>
            <a:ln w="6350">
              <a:solidFill>
                <a:sysClr val="windowText" lastClr="000000"/>
              </a:solidFill>
            </a:ln>
          </c:spPr>
          <c:invertIfNegative val="0"/>
          <c:cat>
            <c:strRef>
              <c:f>'Frequency rate'!$A$6:$A$15</c:f>
              <c:strCache>
                <c:ptCount val="10"/>
                <c:pt idx="0">
                  <c:v>TAS</c:v>
                </c:pt>
                <c:pt idx="1">
                  <c:v>NSW</c:v>
                </c:pt>
                <c:pt idx="2">
                  <c:v>QLD</c:v>
                </c:pt>
                <c:pt idx="3">
                  <c:v>WA</c:v>
                </c:pt>
                <c:pt idx="4">
                  <c:v>ACT</c:v>
                </c:pt>
                <c:pt idx="5">
                  <c:v>SA</c:v>
                </c:pt>
                <c:pt idx="6">
                  <c:v>VIC</c:v>
                </c:pt>
                <c:pt idx="7">
                  <c:v>NT</c:v>
                </c:pt>
                <c:pt idx="8">
                  <c:v>Aus Gov</c:v>
                </c:pt>
                <c:pt idx="9">
                  <c:v>Aus total</c:v>
                </c:pt>
              </c:strCache>
            </c:strRef>
          </c:cat>
          <c:val>
            <c:numRef>
              <c:f>'Frequency rate'!$D$6:$D$15</c:f>
              <c:numCache>
                <c:formatCode>0.0</c:formatCode>
                <c:ptCount val="10"/>
                <c:pt idx="0">
                  <c:v>9.6</c:v>
                </c:pt>
                <c:pt idx="1">
                  <c:v>6.4</c:v>
                </c:pt>
                <c:pt idx="2">
                  <c:v>7.6</c:v>
                </c:pt>
                <c:pt idx="3">
                  <c:v>5.5</c:v>
                </c:pt>
                <c:pt idx="4">
                  <c:v>6.6</c:v>
                </c:pt>
                <c:pt idx="5">
                  <c:v>5.4</c:v>
                </c:pt>
                <c:pt idx="6">
                  <c:v>4</c:v>
                </c:pt>
                <c:pt idx="7">
                  <c:v>5.3</c:v>
                </c:pt>
                <c:pt idx="8">
                  <c:v>2.6</c:v>
                </c:pt>
                <c:pt idx="9">
                  <c:v>5.8</c:v>
                </c:pt>
              </c:numCache>
            </c:numRef>
          </c:val>
          <c:extLst>
            <c:ext xmlns:c16="http://schemas.microsoft.com/office/drawing/2014/chart" uri="{C3380CC4-5D6E-409C-BE32-E72D297353CC}">
              <c16:uniqueId val="{00000002-8981-443A-B99F-E494099277C4}"/>
            </c:ext>
          </c:extLst>
        </c:ser>
        <c:ser>
          <c:idx val="2"/>
          <c:order val="3"/>
          <c:tx>
            <c:strRef>
              <c:f>'Frequency rate'!$E$5</c:f>
              <c:strCache>
                <c:ptCount val="1"/>
                <c:pt idx="0">
                  <c:v>2019-20</c:v>
                </c:pt>
              </c:strCache>
            </c:strRef>
          </c:tx>
          <c:spPr>
            <a:solidFill>
              <a:srgbClr val="595A5C"/>
            </a:solidFill>
            <a:ln w="6350">
              <a:solidFill>
                <a:srgbClr val="595A5C"/>
              </a:solidFill>
            </a:ln>
          </c:spPr>
          <c:invertIfNegative val="0"/>
          <c:cat>
            <c:strRef>
              <c:f>'Frequency rate'!$A$6:$A$15</c:f>
              <c:strCache>
                <c:ptCount val="10"/>
                <c:pt idx="0">
                  <c:v>TAS</c:v>
                </c:pt>
                <c:pt idx="1">
                  <c:v>NSW</c:v>
                </c:pt>
                <c:pt idx="2">
                  <c:v>QLD</c:v>
                </c:pt>
                <c:pt idx="3">
                  <c:v>WA</c:v>
                </c:pt>
                <c:pt idx="4">
                  <c:v>ACT</c:v>
                </c:pt>
                <c:pt idx="5">
                  <c:v>SA</c:v>
                </c:pt>
                <c:pt idx="6">
                  <c:v>VIC</c:v>
                </c:pt>
                <c:pt idx="7">
                  <c:v>NT</c:v>
                </c:pt>
                <c:pt idx="8">
                  <c:v>Aus Gov</c:v>
                </c:pt>
                <c:pt idx="9">
                  <c:v>Aus total</c:v>
                </c:pt>
              </c:strCache>
            </c:strRef>
          </c:cat>
          <c:val>
            <c:numRef>
              <c:f>'Frequency rate'!$E$6:$E$15</c:f>
              <c:numCache>
                <c:formatCode>0.0</c:formatCode>
                <c:ptCount val="10"/>
                <c:pt idx="0">
                  <c:v>9.1</c:v>
                </c:pt>
                <c:pt idx="1">
                  <c:v>7.4</c:v>
                </c:pt>
                <c:pt idx="2">
                  <c:v>7.7</c:v>
                </c:pt>
                <c:pt idx="3">
                  <c:v>5.5</c:v>
                </c:pt>
                <c:pt idx="4">
                  <c:v>6.1</c:v>
                </c:pt>
                <c:pt idx="5">
                  <c:v>5.6</c:v>
                </c:pt>
                <c:pt idx="6">
                  <c:v>4</c:v>
                </c:pt>
                <c:pt idx="7">
                  <c:v>5.0999999999999996</c:v>
                </c:pt>
                <c:pt idx="8">
                  <c:v>2.7</c:v>
                </c:pt>
                <c:pt idx="9">
                  <c:v>6.1</c:v>
                </c:pt>
              </c:numCache>
            </c:numRef>
          </c:val>
          <c:extLst>
            <c:ext xmlns:c16="http://schemas.microsoft.com/office/drawing/2014/chart" uri="{C3380CC4-5D6E-409C-BE32-E72D297353CC}">
              <c16:uniqueId val="{00000003-8981-443A-B99F-E494099277C4}"/>
            </c:ext>
          </c:extLst>
        </c:ser>
        <c:ser>
          <c:idx val="3"/>
          <c:order val="4"/>
          <c:tx>
            <c:strRef>
              <c:f>'Frequency rate'!$F$5</c:f>
              <c:strCache>
                <c:ptCount val="1"/>
                <c:pt idx="0">
                  <c:v>2020-21</c:v>
                </c:pt>
              </c:strCache>
            </c:strRef>
          </c:tx>
          <c:spPr>
            <a:solidFill>
              <a:srgbClr val="3C3C3E"/>
            </a:solidFill>
            <a:ln w="6350">
              <a:solidFill>
                <a:sysClr val="windowText" lastClr="000000"/>
              </a:solidFill>
              <a:prstDash val="solid"/>
            </a:ln>
          </c:spPr>
          <c:invertIfNegative val="0"/>
          <c:cat>
            <c:strRef>
              <c:f>'Frequency rate'!$A$6:$A$15</c:f>
              <c:strCache>
                <c:ptCount val="10"/>
                <c:pt idx="0">
                  <c:v>TAS</c:v>
                </c:pt>
                <c:pt idx="1">
                  <c:v>NSW</c:v>
                </c:pt>
                <c:pt idx="2">
                  <c:v>QLD</c:v>
                </c:pt>
                <c:pt idx="3">
                  <c:v>WA</c:v>
                </c:pt>
                <c:pt idx="4">
                  <c:v>ACT</c:v>
                </c:pt>
                <c:pt idx="5">
                  <c:v>SA</c:v>
                </c:pt>
                <c:pt idx="6">
                  <c:v>VIC</c:v>
                </c:pt>
                <c:pt idx="7">
                  <c:v>NT</c:v>
                </c:pt>
                <c:pt idx="8">
                  <c:v>Aus Gov</c:v>
                </c:pt>
                <c:pt idx="9">
                  <c:v>Aus total</c:v>
                </c:pt>
              </c:strCache>
            </c:strRef>
          </c:cat>
          <c:val>
            <c:numRef>
              <c:f>'Frequency rate'!$F$6:$F$15</c:f>
              <c:numCache>
                <c:formatCode>0.0</c:formatCode>
                <c:ptCount val="10"/>
                <c:pt idx="0">
                  <c:v>9.3000000000000007</c:v>
                </c:pt>
                <c:pt idx="1">
                  <c:v>8</c:v>
                </c:pt>
                <c:pt idx="2">
                  <c:v>8.3000000000000007</c:v>
                </c:pt>
                <c:pt idx="3">
                  <c:v>6</c:v>
                </c:pt>
                <c:pt idx="4">
                  <c:v>6</c:v>
                </c:pt>
                <c:pt idx="5">
                  <c:v>5.6</c:v>
                </c:pt>
                <c:pt idx="6">
                  <c:v>4.0999999999999996</c:v>
                </c:pt>
                <c:pt idx="7">
                  <c:v>4.9000000000000004</c:v>
                </c:pt>
                <c:pt idx="8">
                  <c:v>2.7</c:v>
                </c:pt>
                <c:pt idx="9">
                  <c:v>6.5</c:v>
                </c:pt>
              </c:numCache>
            </c:numRef>
          </c:val>
          <c:extLst>
            <c:ext xmlns:c16="http://schemas.microsoft.com/office/drawing/2014/chart" uri="{C3380CC4-5D6E-409C-BE32-E72D297353CC}">
              <c16:uniqueId val="{00000004-8981-443A-B99F-E494099277C4}"/>
            </c:ext>
          </c:extLst>
        </c:ser>
        <c:ser>
          <c:idx val="4"/>
          <c:order val="5"/>
          <c:tx>
            <c:strRef>
              <c:f>'Frequency rate'!$G$5</c:f>
              <c:strCache>
                <c:ptCount val="1"/>
                <c:pt idx="0">
                  <c:v>2021-22p</c:v>
                </c:pt>
              </c:strCache>
            </c:strRef>
          </c:tx>
          <c:spPr>
            <a:solidFill>
              <a:srgbClr val="C00000"/>
            </a:solidFill>
            <a:ln>
              <a:solidFill>
                <a:sysClr val="windowText" lastClr="000000"/>
              </a:solidFill>
            </a:ln>
          </c:spPr>
          <c:invertIfNegative val="0"/>
          <c:cat>
            <c:strRef>
              <c:f>'Frequency rate'!$A$6:$A$15</c:f>
              <c:strCache>
                <c:ptCount val="10"/>
                <c:pt idx="0">
                  <c:v>TAS</c:v>
                </c:pt>
                <c:pt idx="1">
                  <c:v>NSW</c:v>
                </c:pt>
                <c:pt idx="2">
                  <c:v>QLD</c:v>
                </c:pt>
                <c:pt idx="3">
                  <c:v>WA</c:v>
                </c:pt>
                <c:pt idx="4">
                  <c:v>ACT</c:v>
                </c:pt>
                <c:pt idx="5">
                  <c:v>SA</c:v>
                </c:pt>
                <c:pt idx="6">
                  <c:v>VIC</c:v>
                </c:pt>
                <c:pt idx="7">
                  <c:v>NT</c:v>
                </c:pt>
                <c:pt idx="8">
                  <c:v>Aus Gov</c:v>
                </c:pt>
                <c:pt idx="9">
                  <c:v>Aus total</c:v>
                </c:pt>
              </c:strCache>
            </c:strRef>
          </c:cat>
          <c:val>
            <c:numRef>
              <c:f>'Frequency rate'!$G$6:$G$15</c:f>
              <c:numCache>
                <c:formatCode>0.0</c:formatCode>
                <c:ptCount val="10"/>
                <c:pt idx="0">
                  <c:v>9.1</c:v>
                </c:pt>
                <c:pt idx="1">
                  <c:v>8.9</c:v>
                </c:pt>
                <c:pt idx="2">
                  <c:v>7.9</c:v>
                </c:pt>
                <c:pt idx="3">
                  <c:v>5.4</c:v>
                </c:pt>
                <c:pt idx="4">
                  <c:v>5.2</c:v>
                </c:pt>
                <c:pt idx="5">
                  <c:v>4.7</c:v>
                </c:pt>
                <c:pt idx="6">
                  <c:v>4</c:v>
                </c:pt>
                <c:pt idx="7">
                  <c:v>3.5</c:v>
                </c:pt>
                <c:pt idx="8">
                  <c:v>2.4</c:v>
                </c:pt>
                <c:pt idx="9">
                  <c:v>6.5</c:v>
                </c:pt>
              </c:numCache>
            </c:numRef>
          </c:val>
          <c:extLst>
            <c:ext xmlns:c16="http://schemas.microsoft.com/office/drawing/2014/chart" uri="{C3380CC4-5D6E-409C-BE32-E72D297353CC}">
              <c16:uniqueId val="{00000005-8981-443A-B99F-E494099277C4}"/>
            </c:ext>
          </c:extLst>
        </c:ser>
        <c:dLbls>
          <c:showLegendKey val="0"/>
          <c:showVal val="0"/>
          <c:showCatName val="0"/>
          <c:showSerName val="0"/>
          <c:showPercent val="0"/>
          <c:showBubbleSize val="0"/>
        </c:dLbls>
        <c:gapWidth val="150"/>
        <c:axId val="240953216"/>
        <c:axId val="251065856"/>
      </c:barChart>
      <c:lineChart>
        <c:grouping val="standard"/>
        <c:varyColors val="0"/>
        <c:ser>
          <c:idx val="5"/>
          <c:order val="6"/>
          <c:tx>
            <c:strRef>
              <c:f>'Frequency rate'!$H$5</c:f>
              <c:strCache>
                <c:ptCount val="1"/>
                <c:pt idx="0">
                  <c:v>2021-22p Aus</c:v>
                </c:pt>
              </c:strCache>
            </c:strRef>
          </c:tx>
          <c:spPr>
            <a:ln>
              <a:solidFill>
                <a:srgbClr val="C10A27"/>
              </a:solidFill>
            </a:ln>
          </c:spPr>
          <c:marker>
            <c:symbol val="none"/>
          </c:marker>
          <c:cat>
            <c:strRef>
              <c:f>'Frequency rate'!$A$6:$A$15</c:f>
              <c:strCache>
                <c:ptCount val="10"/>
                <c:pt idx="0">
                  <c:v>TAS</c:v>
                </c:pt>
                <c:pt idx="1">
                  <c:v>NSW</c:v>
                </c:pt>
                <c:pt idx="2">
                  <c:v>QLD</c:v>
                </c:pt>
                <c:pt idx="3">
                  <c:v>WA</c:v>
                </c:pt>
                <c:pt idx="4">
                  <c:v>ACT</c:v>
                </c:pt>
                <c:pt idx="5">
                  <c:v>SA</c:v>
                </c:pt>
                <c:pt idx="6">
                  <c:v>VIC</c:v>
                </c:pt>
                <c:pt idx="7">
                  <c:v>NT</c:v>
                </c:pt>
                <c:pt idx="8">
                  <c:v>Aus Gov</c:v>
                </c:pt>
                <c:pt idx="9">
                  <c:v>Aus total</c:v>
                </c:pt>
              </c:strCache>
            </c:strRef>
          </c:cat>
          <c:val>
            <c:numRef>
              <c:f>'Frequency rate'!$H$6:$H$15</c:f>
              <c:numCache>
                <c:formatCode>General</c:formatCode>
                <c:ptCount val="10"/>
                <c:pt idx="0">
                  <c:v>6.5</c:v>
                </c:pt>
                <c:pt idx="1">
                  <c:v>6.5</c:v>
                </c:pt>
                <c:pt idx="2">
                  <c:v>6.5</c:v>
                </c:pt>
                <c:pt idx="3">
                  <c:v>6.5</c:v>
                </c:pt>
                <c:pt idx="4">
                  <c:v>6.5</c:v>
                </c:pt>
                <c:pt idx="5">
                  <c:v>6.5</c:v>
                </c:pt>
                <c:pt idx="6">
                  <c:v>6.5</c:v>
                </c:pt>
                <c:pt idx="7">
                  <c:v>6.5</c:v>
                </c:pt>
                <c:pt idx="8">
                  <c:v>6.5</c:v>
                </c:pt>
                <c:pt idx="9">
                  <c:v>6.5</c:v>
                </c:pt>
              </c:numCache>
            </c:numRef>
          </c:val>
          <c:smooth val="0"/>
          <c:extLst>
            <c:ext xmlns:c16="http://schemas.microsoft.com/office/drawing/2014/chart" uri="{C3380CC4-5D6E-409C-BE32-E72D297353CC}">
              <c16:uniqueId val="{00000006-8981-443A-B99F-E494099277C4}"/>
            </c:ext>
          </c:extLst>
        </c:ser>
        <c:dLbls>
          <c:showLegendKey val="0"/>
          <c:showVal val="0"/>
          <c:showCatName val="0"/>
          <c:showSerName val="0"/>
          <c:showPercent val="0"/>
          <c:showBubbleSize val="0"/>
        </c:dLbls>
        <c:marker val="1"/>
        <c:smooth val="0"/>
        <c:axId val="240953216"/>
        <c:axId val="251065856"/>
      </c:lineChart>
      <c:catAx>
        <c:axId val="2409532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51065856"/>
        <c:crosses val="autoZero"/>
        <c:auto val="1"/>
        <c:lblAlgn val="ctr"/>
        <c:lblOffset val="100"/>
        <c:tickMarkSkip val="1"/>
        <c:noMultiLvlLbl val="0"/>
      </c:catAx>
      <c:valAx>
        <c:axId val="251065856"/>
        <c:scaling>
          <c:orientation val="minMax"/>
          <c:max val="10"/>
          <c:min val="0"/>
        </c:scaling>
        <c:delete val="0"/>
        <c:axPos val="l"/>
        <c:majorGridlines>
          <c:spPr>
            <a:ln w="3175">
              <a:solidFill>
                <a:srgbClr val="969696"/>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Claims per</a:t>
                </a:r>
                <a:r>
                  <a:rPr lang="en-AU" baseline="0"/>
                  <a:t> million hours worked</a:t>
                </a:r>
                <a:endParaRPr lang="en-AU"/>
              </a:p>
            </c:rich>
          </c:tx>
          <c:layout>
            <c:manualLayout>
              <c:xMode val="edge"/>
              <c:yMode val="edge"/>
              <c:x val="8.8920733719157138E-2"/>
              <c:y val="4.6290052669590791E-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40953216"/>
        <c:crosses val="autoZero"/>
        <c:crossBetween val="between"/>
        <c:majorUnit val="2"/>
      </c:valAx>
      <c:dTable>
        <c:showHorzBorder val="0"/>
        <c:showVertBorder val="0"/>
        <c:showOutline val="0"/>
        <c:showKeys val="1"/>
        <c:spPr>
          <a:ln w="3175">
            <a:solidFill>
              <a:srgbClr val="000000"/>
            </a:solidFill>
            <a:prstDash val="solid"/>
          </a:ln>
        </c:spPr>
        <c:txPr>
          <a:bodyPr/>
          <a:lstStyle/>
          <a:p>
            <a:pPr rtl="0">
              <a:defRPr sz="800" b="0" i="0" u="none" strike="noStrike" baseline="0">
                <a:solidFill>
                  <a:srgbClr val="000000"/>
                </a:solidFill>
                <a:latin typeface="Arial"/>
                <a:ea typeface="Arial"/>
                <a:cs typeface="Arial"/>
              </a:defRPr>
            </a:pPr>
            <a:endParaRPr lang="en-US"/>
          </a:p>
        </c:txPr>
      </c:dTable>
      <c:spPr>
        <a:noFill/>
        <a:ln w="12700">
          <a:solidFill>
            <a:srgbClr val="808080"/>
          </a:solidFill>
          <a:prstDash val="solid"/>
        </a:ln>
      </c:spPr>
    </c:plotArea>
    <c:plotVisOnly val="1"/>
    <c:dispBlanksAs val="gap"/>
    <c:showDLblsOverMax val="0"/>
  </c:chart>
  <c:spPr>
    <a:solidFill>
      <a:srgbClr val="FFFFFF"/>
    </a:solidFill>
    <a:ln w="9525">
      <a:solidFill>
        <a:sysClr val="window" lastClr="FFFFFF"/>
      </a:solidFill>
    </a:ln>
  </c:spPr>
  <c:txPr>
    <a:bodyPr/>
    <a:lstStyle/>
    <a:p>
      <a:pPr>
        <a:defRPr sz="12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142883716027585"/>
          <c:y val="9.8901231570376308E-2"/>
          <c:w val="0.80635045627240864"/>
          <c:h val="0.64011074877493557"/>
        </c:manualLayout>
      </c:layout>
      <c:barChart>
        <c:barDir val="col"/>
        <c:grouping val="clustered"/>
        <c:varyColors val="0"/>
        <c:ser>
          <c:idx val="6"/>
          <c:order val="0"/>
          <c:tx>
            <c:strRef>
              <c:f>'Long term incidence'!$B$5</c:f>
              <c:strCache>
                <c:ptCount val="1"/>
                <c:pt idx="0">
                  <c:v>2016-17</c:v>
                </c:pt>
              </c:strCache>
            </c:strRef>
          </c:tx>
          <c:spPr>
            <a:solidFill>
              <a:sysClr val="window" lastClr="FFFFFF"/>
            </a:solidFill>
            <a:ln>
              <a:solidFill>
                <a:sysClr val="windowText" lastClr="000000"/>
              </a:solidFill>
            </a:ln>
          </c:spPr>
          <c:invertIfNegative val="0"/>
          <c:cat>
            <c:strRef>
              <c:f>'Long term incidence'!$A$6:$A$15</c:f>
              <c:strCache>
                <c:ptCount val="10"/>
                <c:pt idx="0">
                  <c:v>QLD</c:v>
                </c:pt>
                <c:pt idx="1">
                  <c:v>NSW</c:v>
                </c:pt>
                <c:pt idx="2">
                  <c:v>VIC</c:v>
                </c:pt>
                <c:pt idx="3">
                  <c:v>WA</c:v>
                </c:pt>
                <c:pt idx="4">
                  <c:v>TAS</c:v>
                </c:pt>
                <c:pt idx="5">
                  <c:v>ACT</c:v>
                </c:pt>
                <c:pt idx="6">
                  <c:v>SA</c:v>
                </c:pt>
                <c:pt idx="7">
                  <c:v>NT</c:v>
                </c:pt>
                <c:pt idx="8">
                  <c:v>Aus Gov</c:v>
                </c:pt>
                <c:pt idx="9">
                  <c:v>Aus total</c:v>
                </c:pt>
              </c:strCache>
            </c:strRef>
          </c:cat>
          <c:val>
            <c:numRef>
              <c:f>'Long term incidence'!$B$6:$B$15</c:f>
              <c:numCache>
                <c:formatCode>0.0</c:formatCode>
                <c:ptCount val="10"/>
                <c:pt idx="0">
                  <c:v>3.5</c:v>
                </c:pt>
                <c:pt idx="1">
                  <c:v>2.8</c:v>
                </c:pt>
                <c:pt idx="2">
                  <c:v>3.7</c:v>
                </c:pt>
                <c:pt idx="3">
                  <c:v>3.9</c:v>
                </c:pt>
                <c:pt idx="4">
                  <c:v>3.3</c:v>
                </c:pt>
                <c:pt idx="5">
                  <c:v>3.7</c:v>
                </c:pt>
                <c:pt idx="6">
                  <c:v>3</c:v>
                </c:pt>
                <c:pt idx="7">
                  <c:v>4.0999999999999996</c:v>
                </c:pt>
                <c:pt idx="8">
                  <c:v>1.7</c:v>
                </c:pt>
                <c:pt idx="9" formatCode="General">
                  <c:v>3.3</c:v>
                </c:pt>
              </c:numCache>
            </c:numRef>
          </c:val>
          <c:extLst>
            <c:ext xmlns:c16="http://schemas.microsoft.com/office/drawing/2014/chart" uri="{C3380CC4-5D6E-409C-BE32-E72D297353CC}">
              <c16:uniqueId val="{00000000-2E5D-4689-87B4-69F7A3C894FC}"/>
            </c:ext>
          </c:extLst>
        </c:ser>
        <c:ser>
          <c:idx val="0"/>
          <c:order val="1"/>
          <c:tx>
            <c:strRef>
              <c:f>'Long term incidence'!$C$5</c:f>
              <c:strCache>
                <c:ptCount val="1"/>
                <c:pt idx="0">
                  <c:v>2017-18</c:v>
                </c:pt>
              </c:strCache>
            </c:strRef>
          </c:tx>
          <c:spPr>
            <a:solidFill>
              <a:srgbClr val="E7E6E6">
                <a:lumMod val="90000"/>
              </a:srgbClr>
            </a:solidFill>
            <a:ln>
              <a:solidFill>
                <a:sysClr val="windowText" lastClr="000000"/>
              </a:solidFill>
            </a:ln>
          </c:spPr>
          <c:invertIfNegative val="0"/>
          <c:cat>
            <c:strRef>
              <c:f>'Long term incidence'!$A$6:$A$15</c:f>
              <c:strCache>
                <c:ptCount val="10"/>
                <c:pt idx="0">
                  <c:v>QLD</c:v>
                </c:pt>
                <c:pt idx="1">
                  <c:v>NSW</c:v>
                </c:pt>
                <c:pt idx="2">
                  <c:v>VIC</c:v>
                </c:pt>
                <c:pt idx="3">
                  <c:v>WA</c:v>
                </c:pt>
                <c:pt idx="4">
                  <c:v>TAS</c:v>
                </c:pt>
                <c:pt idx="5">
                  <c:v>ACT</c:v>
                </c:pt>
                <c:pt idx="6">
                  <c:v>SA</c:v>
                </c:pt>
                <c:pt idx="7">
                  <c:v>NT</c:v>
                </c:pt>
                <c:pt idx="8">
                  <c:v>Aus Gov</c:v>
                </c:pt>
                <c:pt idx="9">
                  <c:v>Aus total</c:v>
                </c:pt>
              </c:strCache>
            </c:strRef>
          </c:cat>
          <c:val>
            <c:numRef>
              <c:f>'Long term incidence'!$C$6:$C$15</c:f>
              <c:numCache>
                <c:formatCode>0.0</c:formatCode>
                <c:ptCount val="10"/>
                <c:pt idx="0">
                  <c:v>3.6</c:v>
                </c:pt>
                <c:pt idx="1">
                  <c:v>3.4</c:v>
                </c:pt>
                <c:pt idx="2">
                  <c:v>3.7</c:v>
                </c:pt>
                <c:pt idx="3">
                  <c:v>3.9</c:v>
                </c:pt>
                <c:pt idx="4">
                  <c:v>3.3</c:v>
                </c:pt>
                <c:pt idx="5">
                  <c:v>4</c:v>
                </c:pt>
                <c:pt idx="6">
                  <c:v>3.2</c:v>
                </c:pt>
                <c:pt idx="7">
                  <c:v>4.2</c:v>
                </c:pt>
                <c:pt idx="8">
                  <c:v>1.8</c:v>
                </c:pt>
                <c:pt idx="9" formatCode="General">
                  <c:v>3.5</c:v>
                </c:pt>
              </c:numCache>
            </c:numRef>
          </c:val>
          <c:extLst>
            <c:ext xmlns:c16="http://schemas.microsoft.com/office/drawing/2014/chart" uri="{C3380CC4-5D6E-409C-BE32-E72D297353CC}">
              <c16:uniqueId val="{00000001-2E5D-4689-87B4-69F7A3C894FC}"/>
            </c:ext>
          </c:extLst>
        </c:ser>
        <c:ser>
          <c:idx val="1"/>
          <c:order val="2"/>
          <c:tx>
            <c:strRef>
              <c:f>'Long term incidence'!$D$5</c:f>
              <c:strCache>
                <c:ptCount val="1"/>
                <c:pt idx="0">
                  <c:v>2018-19</c:v>
                </c:pt>
              </c:strCache>
            </c:strRef>
          </c:tx>
          <c:spPr>
            <a:solidFill>
              <a:srgbClr val="E7E6E6">
                <a:lumMod val="75000"/>
              </a:srgbClr>
            </a:solidFill>
            <a:ln>
              <a:solidFill>
                <a:sysClr val="windowText" lastClr="000000"/>
              </a:solidFill>
            </a:ln>
          </c:spPr>
          <c:invertIfNegative val="0"/>
          <c:cat>
            <c:strRef>
              <c:f>'Long term incidence'!$A$6:$A$15</c:f>
              <c:strCache>
                <c:ptCount val="10"/>
                <c:pt idx="0">
                  <c:v>QLD</c:v>
                </c:pt>
                <c:pt idx="1">
                  <c:v>NSW</c:v>
                </c:pt>
                <c:pt idx="2">
                  <c:v>VIC</c:v>
                </c:pt>
                <c:pt idx="3">
                  <c:v>WA</c:v>
                </c:pt>
                <c:pt idx="4">
                  <c:v>TAS</c:v>
                </c:pt>
                <c:pt idx="5">
                  <c:v>ACT</c:v>
                </c:pt>
                <c:pt idx="6">
                  <c:v>SA</c:v>
                </c:pt>
                <c:pt idx="7">
                  <c:v>NT</c:v>
                </c:pt>
                <c:pt idx="8">
                  <c:v>Aus Gov</c:v>
                </c:pt>
                <c:pt idx="9">
                  <c:v>Aus total</c:v>
                </c:pt>
              </c:strCache>
            </c:strRef>
          </c:cat>
          <c:val>
            <c:numRef>
              <c:f>'Long term incidence'!$D$6:$D$15</c:f>
              <c:numCache>
                <c:formatCode>0.0</c:formatCode>
                <c:ptCount val="10"/>
                <c:pt idx="0">
                  <c:v>4.0999999999999996</c:v>
                </c:pt>
                <c:pt idx="1">
                  <c:v>3.7</c:v>
                </c:pt>
                <c:pt idx="2">
                  <c:v>3.7</c:v>
                </c:pt>
                <c:pt idx="3">
                  <c:v>3.9</c:v>
                </c:pt>
                <c:pt idx="4">
                  <c:v>3.8</c:v>
                </c:pt>
                <c:pt idx="5">
                  <c:v>3.7</c:v>
                </c:pt>
                <c:pt idx="6">
                  <c:v>3.5</c:v>
                </c:pt>
                <c:pt idx="7">
                  <c:v>3.6</c:v>
                </c:pt>
                <c:pt idx="8">
                  <c:v>1.7</c:v>
                </c:pt>
                <c:pt idx="9" formatCode="General">
                  <c:v>3.7</c:v>
                </c:pt>
              </c:numCache>
            </c:numRef>
          </c:val>
          <c:extLst>
            <c:ext xmlns:c16="http://schemas.microsoft.com/office/drawing/2014/chart" uri="{C3380CC4-5D6E-409C-BE32-E72D297353CC}">
              <c16:uniqueId val="{00000002-2E5D-4689-87B4-69F7A3C894FC}"/>
            </c:ext>
          </c:extLst>
        </c:ser>
        <c:ser>
          <c:idx val="2"/>
          <c:order val="3"/>
          <c:tx>
            <c:strRef>
              <c:f>'Long term incidence'!$E$5</c:f>
              <c:strCache>
                <c:ptCount val="1"/>
                <c:pt idx="0">
                  <c:v>2019-20</c:v>
                </c:pt>
              </c:strCache>
            </c:strRef>
          </c:tx>
          <c:spPr>
            <a:solidFill>
              <a:srgbClr val="E7E6E6">
                <a:lumMod val="50000"/>
              </a:srgbClr>
            </a:solidFill>
            <a:ln>
              <a:solidFill>
                <a:sysClr val="windowText" lastClr="000000"/>
              </a:solidFill>
            </a:ln>
          </c:spPr>
          <c:invertIfNegative val="0"/>
          <c:cat>
            <c:strRef>
              <c:f>'Long term incidence'!$A$6:$A$15</c:f>
              <c:strCache>
                <c:ptCount val="10"/>
                <c:pt idx="0">
                  <c:v>QLD</c:v>
                </c:pt>
                <c:pt idx="1">
                  <c:v>NSW</c:v>
                </c:pt>
                <c:pt idx="2">
                  <c:v>VIC</c:v>
                </c:pt>
                <c:pt idx="3">
                  <c:v>WA</c:v>
                </c:pt>
                <c:pt idx="4">
                  <c:v>TAS</c:v>
                </c:pt>
                <c:pt idx="5">
                  <c:v>ACT</c:v>
                </c:pt>
                <c:pt idx="6">
                  <c:v>SA</c:v>
                </c:pt>
                <c:pt idx="7">
                  <c:v>NT</c:v>
                </c:pt>
                <c:pt idx="8">
                  <c:v>Aus Gov</c:v>
                </c:pt>
                <c:pt idx="9">
                  <c:v>Aus total</c:v>
                </c:pt>
              </c:strCache>
            </c:strRef>
          </c:cat>
          <c:val>
            <c:numRef>
              <c:f>'Long term incidence'!$E$6:$E$15</c:f>
              <c:numCache>
                <c:formatCode>0.0</c:formatCode>
                <c:ptCount val="10"/>
                <c:pt idx="0">
                  <c:v>4.3</c:v>
                </c:pt>
                <c:pt idx="1">
                  <c:v>4.0999999999999996</c:v>
                </c:pt>
                <c:pt idx="2">
                  <c:v>3.9</c:v>
                </c:pt>
                <c:pt idx="3">
                  <c:v>4</c:v>
                </c:pt>
                <c:pt idx="4">
                  <c:v>3.5</c:v>
                </c:pt>
                <c:pt idx="5">
                  <c:v>3.5</c:v>
                </c:pt>
                <c:pt idx="6">
                  <c:v>3.7</c:v>
                </c:pt>
                <c:pt idx="7">
                  <c:v>3.1</c:v>
                </c:pt>
                <c:pt idx="8">
                  <c:v>1.8</c:v>
                </c:pt>
                <c:pt idx="9" formatCode="General">
                  <c:v>3.9</c:v>
                </c:pt>
              </c:numCache>
            </c:numRef>
          </c:val>
          <c:extLst>
            <c:ext xmlns:c16="http://schemas.microsoft.com/office/drawing/2014/chart" uri="{C3380CC4-5D6E-409C-BE32-E72D297353CC}">
              <c16:uniqueId val="{00000003-2E5D-4689-87B4-69F7A3C894FC}"/>
            </c:ext>
          </c:extLst>
        </c:ser>
        <c:ser>
          <c:idx val="3"/>
          <c:order val="4"/>
          <c:tx>
            <c:strRef>
              <c:f>'Long term incidence'!$F$5</c:f>
              <c:strCache>
                <c:ptCount val="1"/>
                <c:pt idx="0">
                  <c:v>2020-21</c:v>
                </c:pt>
              </c:strCache>
            </c:strRef>
          </c:tx>
          <c:spPr>
            <a:solidFill>
              <a:srgbClr val="E7E6E6">
                <a:lumMod val="25000"/>
              </a:srgbClr>
            </a:solidFill>
            <a:ln>
              <a:solidFill>
                <a:sysClr val="windowText" lastClr="000000"/>
              </a:solidFill>
            </a:ln>
          </c:spPr>
          <c:invertIfNegative val="0"/>
          <c:cat>
            <c:strRef>
              <c:f>'Long term incidence'!$A$6:$A$15</c:f>
              <c:strCache>
                <c:ptCount val="10"/>
                <c:pt idx="0">
                  <c:v>QLD</c:v>
                </c:pt>
                <c:pt idx="1">
                  <c:v>NSW</c:v>
                </c:pt>
                <c:pt idx="2">
                  <c:v>VIC</c:v>
                </c:pt>
                <c:pt idx="3">
                  <c:v>WA</c:v>
                </c:pt>
                <c:pt idx="4">
                  <c:v>TAS</c:v>
                </c:pt>
                <c:pt idx="5">
                  <c:v>ACT</c:v>
                </c:pt>
                <c:pt idx="6">
                  <c:v>SA</c:v>
                </c:pt>
                <c:pt idx="7">
                  <c:v>NT</c:v>
                </c:pt>
                <c:pt idx="8">
                  <c:v>Aus Gov</c:v>
                </c:pt>
                <c:pt idx="9">
                  <c:v>Aus total</c:v>
                </c:pt>
              </c:strCache>
            </c:strRef>
          </c:cat>
          <c:val>
            <c:numRef>
              <c:f>'Long term incidence'!$F$6:$F$15</c:f>
              <c:numCache>
                <c:formatCode>0.0</c:formatCode>
                <c:ptCount val="10"/>
                <c:pt idx="0">
                  <c:v>4.7</c:v>
                </c:pt>
                <c:pt idx="1">
                  <c:v>4.5</c:v>
                </c:pt>
                <c:pt idx="2">
                  <c:v>4.2</c:v>
                </c:pt>
                <c:pt idx="3">
                  <c:v>4.5</c:v>
                </c:pt>
                <c:pt idx="4">
                  <c:v>3.9</c:v>
                </c:pt>
                <c:pt idx="5">
                  <c:v>3.6</c:v>
                </c:pt>
                <c:pt idx="6">
                  <c:v>3.5</c:v>
                </c:pt>
                <c:pt idx="7">
                  <c:v>2.8</c:v>
                </c:pt>
                <c:pt idx="8">
                  <c:v>1.8</c:v>
                </c:pt>
                <c:pt idx="9" formatCode="General">
                  <c:v>4.3</c:v>
                </c:pt>
              </c:numCache>
            </c:numRef>
          </c:val>
          <c:extLst>
            <c:ext xmlns:c16="http://schemas.microsoft.com/office/drawing/2014/chart" uri="{C3380CC4-5D6E-409C-BE32-E72D297353CC}">
              <c16:uniqueId val="{00000004-2E5D-4689-87B4-69F7A3C894FC}"/>
            </c:ext>
          </c:extLst>
        </c:ser>
        <c:ser>
          <c:idx val="4"/>
          <c:order val="5"/>
          <c:tx>
            <c:strRef>
              <c:f>'Long term incidence'!$G$5</c:f>
              <c:strCache>
                <c:ptCount val="1"/>
                <c:pt idx="0">
                  <c:v>2021-22p</c:v>
                </c:pt>
              </c:strCache>
            </c:strRef>
          </c:tx>
          <c:spPr>
            <a:solidFill>
              <a:srgbClr val="C00000"/>
            </a:solidFill>
            <a:ln>
              <a:solidFill>
                <a:sysClr val="windowText" lastClr="000000"/>
              </a:solidFill>
            </a:ln>
          </c:spPr>
          <c:invertIfNegative val="0"/>
          <c:cat>
            <c:strRef>
              <c:f>'Long term incidence'!$A$6:$A$15</c:f>
              <c:strCache>
                <c:ptCount val="10"/>
                <c:pt idx="0">
                  <c:v>QLD</c:v>
                </c:pt>
                <c:pt idx="1">
                  <c:v>NSW</c:v>
                </c:pt>
                <c:pt idx="2">
                  <c:v>VIC</c:v>
                </c:pt>
                <c:pt idx="3">
                  <c:v>WA</c:v>
                </c:pt>
                <c:pt idx="4">
                  <c:v>TAS</c:v>
                </c:pt>
                <c:pt idx="5">
                  <c:v>ACT</c:v>
                </c:pt>
                <c:pt idx="6">
                  <c:v>SA</c:v>
                </c:pt>
                <c:pt idx="7">
                  <c:v>NT</c:v>
                </c:pt>
                <c:pt idx="8">
                  <c:v>Aus Gov</c:v>
                </c:pt>
                <c:pt idx="9">
                  <c:v>Aus total</c:v>
                </c:pt>
              </c:strCache>
            </c:strRef>
          </c:cat>
          <c:val>
            <c:numRef>
              <c:f>'Long term incidence'!$G$6:$G$15</c:f>
              <c:numCache>
                <c:formatCode>0.0</c:formatCode>
                <c:ptCount val="10"/>
                <c:pt idx="0">
                  <c:v>4.2</c:v>
                </c:pt>
                <c:pt idx="1">
                  <c:v>4</c:v>
                </c:pt>
                <c:pt idx="2">
                  <c:v>3.9</c:v>
                </c:pt>
                <c:pt idx="3">
                  <c:v>3.8</c:v>
                </c:pt>
                <c:pt idx="4">
                  <c:v>3.5</c:v>
                </c:pt>
                <c:pt idx="5">
                  <c:v>2.9</c:v>
                </c:pt>
                <c:pt idx="6">
                  <c:v>2.5</c:v>
                </c:pt>
                <c:pt idx="7">
                  <c:v>1.4</c:v>
                </c:pt>
                <c:pt idx="8">
                  <c:v>1.4</c:v>
                </c:pt>
                <c:pt idx="9" formatCode="General">
                  <c:v>3.8</c:v>
                </c:pt>
              </c:numCache>
            </c:numRef>
          </c:val>
          <c:extLst>
            <c:ext xmlns:c16="http://schemas.microsoft.com/office/drawing/2014/chart" uri="{C3380CC4-5D6E-409C-BE32-E72D297353CC}">
              <c16:uniqueId val="{00000005-2E5D-4689-87B4-69F7A3C894FC}"/>
            </c:ext>
          </c:extLst>
        </c:ser>
        <c:dLbls>
          <c:showLegendKey val="0"/>
          <c:showVal val="0"/>
          <c:showCatName val="0"/>
          <c:showSerName val="0"/>
          <c:showPercent val="0"/>
          <c:showBubbleSize val="0"/>
        </c:dLbls>
        <c:gapWidth val="150"/>
        <c:axId val="282800512"/>
        <c:axId val="282802432"/>
      </c:barChart>
      <c:lineChart>
        <c:grouping val="standard"/>
        <c:varyColors val="0"/>
        <c:ser>
          <c:idx val="5"/>
          <c:order val="6"/>
          <c:tx>
            <c:strRef>
              <c:f>'Long term incidence'!$H$5</c:f>
              <c:strCache>
                <c:ptCount val="1"/>
                <c:pt idx="0">
                  <c:v>2021-22 Aus</c:v>
                </c:pt>
              </c:strCache>
            </c:strRef>
          </c:tx>
          <c:spPr>
            <a:ln>
              <a:solidFill>
                <a:srgbClr val="CC3300"/>
              </a:solidFill>
            </a:ln>
          </c:spPr>
          <c:marker>
            <c:symbol val="none"/>
          </c:marker>
          <c:cat>
            <c:strRef>
              <c:f>'Long term incidence'!$A$6:$A$15</c:f>
              <c:strCache>
                <c:ptCount val="10"/>
                <c:pt idx="0">
                  <c:v>QLD</c:v>
                </c:pt>
                <c:pt idx="1">
                  <c:v>NSW</c:v>
                </c:pt>
                <c:pt idx="2">
                  <c:v>VIC</c:v>
                </c:pt>
                <c:pt idx="3">
                  <c:v>WA</c:v>
                </c:pt>
                <c:pt idx="4">
                  <c:v>TAS</c:v>
                </c:pt>
                <c:pt idx="5">
                  <c:v>ACT</c:v>
                </c:pt>
                <c:pt idx="6">
                  <c:v>SA</c:v>
                </c:pt>
                <c:pt idx="7">
                  <c:v>NT</c:v>
                </c:pt>
                <c:pt idx="8">
                  <c:v>Aus Gov</c:v>
                </c:pt>
                <c:pt idx="9">
                  <c:v>Aus total</c:v>
                </c:pt>
              </c:strCache>
            </c:strRef>
          </c:cat>
          <c:val>
            <c:numRef>
              <c:f>'Long term incidence'!$H$6:$H$15</c:f>
              <c:numCache>
                <c:formatCode>General</c:formatCode>
                <c:ptCount val="10"/>
                <c:pt idx="0">
                  <c:v>3.8</c:v>
                </c:pt>
                <c:pt idx="1">
                  <c:v>3.8</c:v>
                </c:pt>
                <c:pt idx="2">
                  <c:v>3.8</c:v>
                </c:pt>
                <c:pt idx="3">
                  <c:v>3.8</c:v>
                </c:pt>
                <c:pt idx="4">
                  <c:v>3.8</c:v>
                </c:pt>
                <c:pt idx="5">
                  <c:v>3.8</c:v>
                </c:pt>
                <c:pt idx="6">
                  <c:v>3.8</c:v>
                </c:pt>
                <c:pt idx="7" formatCode="0.0">
                  <c:v>3.8</c:v>
                </c:pt>
                <c:pt idx="8">
                  <c:v>3.8</c:v>
                </c:pt>
                <c:pt idx="9">
                  <c:v>3.8</c:v>
                </c:pt>
              </c:numCache>
            </c:numRef>
          </c:val>
          <c:smooth val="0"/>
          <c:extLst>
            <c:ext xmlns:c16="http://schemas.microsoft.com/office/drawing/2014/chart" uri="{C3380CC4-5D6E-409C-BE32-E72D297353CC}">
              <c16:uniqueId val="{00000006-2E5D-4689-87B4-69F7A3C894FC}"/>
            </c:ext>
          </c:extLst>
        </c:ser>
        <c:dLbls>
          <c:showLegendKey val="0"/>
          <c:showVal val="0"/>
          <c:showCatName val="0"/>
          <c:showSerName val="0"/>
          <c:showPercent val="0"/>
          <c:showBubbleSize val="0"/>
        </c:dLbls>
        <c:marker val="1"/>
        <c:smooth val="0"/>
        <c:axId val="282800512"/>
        <c:axId val="282802432"/>
      </c:lineChart>
      <c:catAx>
        <c:axId val="2828005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82802432"/>
        <c:crosses val="autoZero"/>
        <c:auto val="1"/>
        <c:lblAlgn val="ctr"/>
        <c:lblOffset val="100"/>
        <c:tickMarkSkip val="1"/>
        <c:noMultiLvlLbl val="0"/>
      </c:catAx>
      <c:valAx>
        <c:axId val="282802432"/>
        <c:scaling>
          <c:orientation val="minMax"/>
          <c:max val="6"/>
          <c:min val="0"/>
        </c:scaling>
        <c:delete val="0"/>
        <c:axPos val="l"/>
        <c:majorGridlines>
          <c:spPr>
            <a:ln w="3175">
              <a:solidFill>
                <a:srgbClr val="969696"/>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Claims per 1000 employees</a:t>
                </a:r>
              </a:p>
            </c:rich>
          </c:tx>
          <c:layout>
            <c:manualLayout>
              <c:xMode val="edge"/>
              <c:yMode val="edge"/>
              <c:x val="3.3777325037167558E-2"/>
              <c:y val="0.1491981860555736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2800512"/>
        <c:crosses val="autoZero"/>
        <c:crossBetween val="between"/>
        <c:majorUnit val="1"/>
      </c:valAx>
      <c:dTable>
        <c:showHorzBorder val="0"/>
        <c:showVertBorder val="0"/>
        <c:showOutline val="0"/>
        <c:showKeys val="1"/>
        <c:spPr>
          <a:ln w="3175">
            <a:solidFill>
              <a:srgbClr val="000000"/>
            </a:solidFill>
            <a:prstDash val="solid"/>
          </a:ln>
        </c:spPr>
        <c:txPr>
          <a:bodyPr/>
          <a:lstStyle/>
          <a:p>
            <a:pPr rtl="0">
              <a:defRPr sz="800" b="0" i="0" u="none" strike="noStrike" baseline="0">
                <a:solidFill>
                  <a:srgbClr val="000000"/>
                </a:solidFill>
                <a:latin typeface="Arial"/>
                <a:ea typeface="Arial"/>
                <a:cs typeface="Arial"/>
              </a:defRPr>
            </a:pPr>
            <a:endParaRPr lang="en-US"/>
          </a:p>
        </c:txPr>
      </c:dTable>
      <c:spPr>
        <a:no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009740283880947"/>
          <c:y val="1.4947652786182729E-2"/>
          <c:w val="0.80635045627240864"/>
          <c:h val="0.64011074877493557"/>
        </c:manualLayout>
      </c:layout>
      <c:barChart>
        <c:barDir val="col"/>
        <c:grouping val="clustered"/>
        <c:varyColors val="0"/>
        <c:ser>
          <c:idx val="6"/>
          <c:order val="0"/>
          <c:tx>
            <c:strRef>
              <c:f>'Long term incidence'!$B$32</c:f>
              <c:strCache>
                <c:ptCount val="1"/>
                <c:pt idx="0">
                  <c:v>2016-17</c:v>
                </c:pt>
              </c:strCache>
            </c:strRef>
          </c:tx>
          <c:spPr>
            <a:solidFill>
              <a:sysClr val="window" lastClr="FFFFFF"/>
            </a:solidFill>
            <a:ln>
              <a:solidFill>
                <a:sysClr val="windowText" lastClr="000000"/>
              </a:solidFill>
            </a:ln>
          </c:spPr>
          <c:invertIfNegative val="0"/>
          <c:cat>
            <c:strRef>
              <c:f>'Long term incidence'!$A$33:$A$42</c:f>
              <c:strCache>
                <c:ptCount val="10"/>
                <c:pt idx="0">
                  <c:v>QLD</c:v>
                </c:pt>
                <c:pt idx="1">
                  <c:v>VIC</c:v>
                </c:pt>
                <c:pt idx="2">
                  <c:v>NSW</c:v>
                </c:pt>
                <c:pt idx="3">
                  <c:v>WA</c:v>
                </c:pt>
                <c:pt idx="4">
                  <c:v>TAS</c:v>
                </c:pt>
                <c:pt idx="5">
                  <c:v>ACT</c:v>
                </c:pt>
                <c:pt idx="6">
                  <c:v>SA</c:v>
                </c:pt>
                <c:pt idx="7">
                  <c:v>NT</c:v>
                </c:pt>
                <c:pt idx="8">
                  <c:v>Aus Gov</c:v>
                </c:pt>
                <c:pt idx="9">
                  <c:v>Aus total</c:v>
                </c:pt>
              </c:strCache>
            </c:strRef>
          </c:cat>
          <c:val>
            <c:numRef>
              <c:f>'Long term incidence'!$B$33:$B$42</c:f>
              <c:numCache>
                <c:formatCode>0.0</c:formatCode>
                <c:ptCount val="10"/>
                <c:pt idx="0">
                  <c:v>2.1</c:v>
                </c:pt>
                <c:pt idx="1">
                  <c:v>2.2999999999999998</c:v>
                </c:pt>
                <c:pt idx="2">
                  <c:v>1.7</c:v>
                </c:pt>
                <c:pt idx="3">
                  <c:v>2.2999999999999998</c:v>
                </c:pt>
                <c:pt idx="4">
                  <c:v>2.2000000000000002</c:v>
                </c:pt>
                <c:pt idx="5">
                  <c:v>2.2999999999999998</c:v>
                </c:pt>
                <c:pt idx="6">
                  <c:v>1.9</c:v>
                </c:pt>
                <c:pt idx="7">
                  <c:v>2.2999999999999998</c:v>
                </c:pt>
                <c:pt idx="8">
                  <c:v>1</c:v>
                </c:pt>
                <c:pt idx="9">
                  <c:v>2</c:v>
                </c:pt>
              </c:numCache>
            </c:numRef>
          </c:val>
          <c:extLst>
            <c:ext xmlns:c16="http://schemas.microsoft.com/office/drawing/2014/chart" uri="{C3380CC4-5D6E-409C-BE32-E72D297353CC}">
              <c16:uniqueId val="{00000000-1B43-44DA-8BB5-EFF866E3426C}"/>
            </c:ext>
          </c:extLst>
        </c:ser>
        <c:ser>
          <c:idx val="0"/>
          <c:order val="1"/>
          <c:tx>
            <c:strRef>
              <c:f>'Long term incidence'!$C$32</c:f>
              <c:strCache>
                <c:ptCount val="1"/>
                <c:pt idx="0">
                  <c:v>2017-18</c:v>
                </c:pt>
              </c:strCache>
            </c:strRef>
          </c:tx>
          <c:spPr>
            <a:solidFill>
              <a:srgbClr val="E7E6E6">
                <a:lumMod val="90000"/>
              </a:srgbClr>
            </a:solidFill>
            <a:ln>
              <a:solidFill>
                <a:sysClr val="windowText" lastClr="000000"/>
              </a:solidFill>
            </a:ln>
          </c:spPr>
          <c:invertIfNegative val="0"/>
          <c:cat>
            <c:strRef>
              <c:f>'Long term incidence'!$A$33:$A$42</c:f>
              <c:strCache>
                <c:ptCount val="10"/>
                <c:pt idx="0">
                  <c:v>QLD</c:v>
                </c:pt>
                <c:pt idx="1">
                  <c:v>VIC</c:v>
                </c:pt>
                <c:pt idx="2">
                  <c:v>NSW</c:v>
                </c:pt>
                <c:pt idx="3">
                  <c:v>WA</c:v>
                </c:pt>
                <c:pt idx="4">
                  <c:v>TAS</c:v>
                </c:pt>
                <c:pt idx="5">
                  <c:v>ACT</c:v>
                </c:pt>
                <c:pt idx="6">
                  <c:v>SA</c:v>
                </c:pt>
                <c:pt idx="7">
                  <c:v>NT</c:v>
                </c:pt>
                <c:pt idx="8">
                  <c:v>Aus Gov</c:v>
                </c:pt>
                <c:pt idx="9">
                  <c:v>Aus total</c:v>
                </c:pt>
              </c:strCache>
            </c:strRef>
          </c:cat>
          <c:val>
            <c:numRef>
              <c:f>'Long term incidence'!$C$33:$C$42</c:f>
              <c:numCache>
                <c:formatCode>0.0</c:formatCode>
                <c:ptCount val="10"/>
                <c:pt idx="0">
                  <c:v>2.1</c:v>
                </c:pt>
                <c:pt idx="1">
                  <c:v>2.2999999999999998</c:v>
                </c:pt>
                <c:pt idx="2">
                  <c:v>2</c:v>
                </c:pt>
                <c:pt idx="3">
                  <c:v>2.2999999999999998</c:v>
                </c:pt>
                <c:pt idx="4">
                  <c:v>2.2000000000000002</c:v>
                </c:pt>
                <c:pt idx="5">
                  <c:v>2.5</c:v>
                </c:pt>
                <c:pt idx="6">
                  <c:v>2</c:v>
                </c:pt>
                <c:pt idx="7">
                  <c:v>2.2999999999999998</c:v>
                </c:pt>
                <c:pt idx="8">
                  <c:v>1</c:v>
                </c:pt>
                <c:pt idx="9">
                  <c:v>2.1</c:v>
                </c:pt>
              </c:numCache>
            </c:numRef>
          </c:val>
          <c:extLst>
            <c:ext xmlns:c16="http://schemas.microsoft.com/office/drawing/2014/chart" uri="{C3380CC4-5D6E-409C-BE32-E72D297353CC}">
              <c16:uniqueId val="{00000001-1B43-44DA-8BB5-EFF866E3426C}"/>
            </c:ext>
          </c:extLst>
        </c:ser>
        <c:ser>
          <c:idx val="1"/>
          <c:order val="2"/>
          <c:tx>
            <c:strRef>
              <c:f>'Long term incidence'!$D$32</c:f>
              <c:strCache>
                <c:ptCount val="1"/>
                <c:pt idx="0">
                  <c:v>2018-19</c:v>
                </c:pt>
              </c:strCache>
            </c:strRef>
          </c:tx>
          <c:spPr>
            <a:solidFill>
              <a:srgbClr val="E7E6E6">
                <a:lumMod val="75000"/>
              </a:srgbClr>
            </a:solidFill>
            <a:ln>
              <a:solidFill>
                <a:sysClr val="windowText" lastClr="000000"/>
              </a:solidFill>
            </a:ln>
          </c:spPr>
          <c:invertIfNegative val="0"/>
          <c:cat>
            <c:strRef>
              <c:f>'Long term incidence'!$A$33:$A$42</c:f>
              <c:strCache>
                <c:ptCount val="10"/>
                <c:pt idx="0">
                  <c:v>QLD</c:v>
                </c:pt>
                <c:pt idx="1">
                  <c:v>VIC</c:v>
                </c:pt>
                <c:pt idx="2">
                  <c:v>NSW</c:v>
                </c:pt>
                <c:pt idx="3">
                  <c:v>WA</c:v>
                </c:pt>
                <c:pt idx="4">
                  <c:v>TAS</c:v>
                </c:pt>
                <c:pt idx="5">
                  <c:v>ACT</c:v>
                </c:pt>
                <c:pt idx="6">
                  <c:v>SA</c:v>
                </c:pt>
                <c:pt idx="7">
                  <c:v>NT</c:v>
                </c:pt>
                <c:pt idx="8">
                  <c:v>Aus Gov</c:v>
                </c:pt>
                <c:pt idx="9">
                  <c:v>Aus total</c:v>
                </c:pt>
              </c:strCache>
            </c:strRef>
          </c:cat>
          <c:val>
            <c:numRef>
              <c:f>'Long term incidence'!$D$33:$D$42</c:f>
              <c:numCache>
                <c:formatCode>0.0</c:formatCode>
                <c:ptCount val="10"/>
                <c:pt idx="0">
                  <c:v>2.5</c:v>
                </c:pt>
                <c:pt idx="1">
                  <c:v>2.2999999999999998</c:v>
                </c:pt>
                <c:pt idx="2">
                  <c:v>2.2000000000000002</c:v>
                </c:pt>
                <c:pt idx="3">
                  <c:v>2.2999999999999998</c:v>
                </c:pt>
                <c:pt idx="4">
                  <c:v>2.5</c:v>
                </c:pt>
                <c:pt idx="5">
                  <c:v>2.4</c:v>
                </c:pt>
                <c:pt idx="6">
                  <c:v>2.2000000000000002</c:v>
                </c:pt>
                <c:pt idx="7">
                  <c:v>2.1</c:v>
                </c:pt>
                <c:pt idx="8">
                  <c:v>1</c:v>
                </c:pt>
                <c:pt idx="9">
                  <c:v>2.2999999999999998</c:v>
                </c:pt>
              </c:numCache>
            </c:numRef>
          </c:val>
          <c:extLst>
            <c:ext xmlns:c16="http://schemas.microsoft.com/office/drawing/2014/chart" uri="{C3380CC4-5D6E-409C-BE32-E72D297353CC}">
              <c16:uniqueId val="{00000002-1B43-44DA-8BB5-EFF866E3426C}"/>
            </c:ext>
          </c:extLst>
        </c:ser>
        <c:ser>
          <c:idx val="2"/>
          <c:order val="3"/>
          <c:tx>
            <c:strRef>
              <c:f>'Long term incidence'!$E$32</c:f>
              <c:strCache>
                <c:ptCount val="1"/>
                <c:pt idx="0">
                  <c:v>2019-20</c:v>
                </c:pt>
              </c:strCache>
            </c:strRef>
          </c:tx>
          <c:spPr>
            <a:solidFill>
              <a:srgbClr val="E7E6E6">
                <a:lumMod val="50000"/>
              </a:srgbClr>
            </a:solidFill>
            <a:ln>
              <a:solidFill>
                <a:sysClr val="windowText" lastClr="000000"/>
              </a:solidFill>
            </a:ln>
          </c:spPr>
          <c:invertIfNegative val="0"/>
          <c:cat>
            <c:strRef>
              <c:f>'Long term incidence'!$A$33:$A$42</c:f>
              <c:strCache>
                <c:ptCount val="10"/>
                <c:pt idx="0">
                  <c:v>QLD</c:v>
                </c:pt>
                <c:pt idx="1">
                  <c:v>VIC</c:v>
                </c:pt>
                <c:pt idx="2">
                  <c:v>NSW</c:v>
                </c:pt>
                <c:pt idx="3">
                  <c:v>WA</c:v>
                </c:pt>
                <c:pt idx="4">
                  <c:v>TAS</c:v>
                </c:pt>
                <c:pt idx="5">
                  <c:v>ACT</c:v>
                </c:pt>
                <c:pt idx="6">
                  <c:v>SA</c:v>
                </c:pt>
                <c:pt idx="7">
                  <c:v>NT</c:v>
                </c:pt>
                <c:pt idx="8">
                  <c:v>Aus Gov</c:v>
                </c:pt>
                <c:pt idx="9">
                  <c:v>Aus total</c:v>
                </c:pt>
              </c:strCache>
            </c:strRef>
          </c:cat>
          <c:val>
            <c:numRef>
              <c:f>'Long term incidence'!$E$33:$E$42</c:f>
              <c:numCache>
                <c:formatCode>0.0</c:formatCode>
                <c:ptCount val="10"/>
                <c:pt idx="0">
                  <c:v>2.6</c:v>
                </c:pt>
                <c:pt idx="1">
                  <c:v>2.5</c:v>
                </c:pt>
                <c:pt idx="2">
                  <c:v>2.5</c:v>
                </c:pt>
                <c:pt idx="3">
                  <c:v>2.4</c:v>
                </c:pt>
                <c:pt idx="4">
                  <c:v>2.4</c:v>
                </c:pt>
                <c:pt idx="5">
                  <c:v>2.2999999999999998</c:v>
                </c:pt>
                <c:pt idx="6">
                  <c:v>2.2999999999999998</c:v>
                </c:pt>
                <c:pt idx="7">
                  <c:v>1.8</c:v>
                </c:pt>
                <c:pt idx="8">
                  <c:v>1.1000000000000001</c:v>
                </c:pt>
                <c:pt idx="9">
                  <c:v>2.4</c:v>
                </c:pt>
              </c:numCache>
            </c:numRef>
          </c:val>
          <c:extLst>
            <c:ext xmlns:c16="http://schemas.microsoft.com/office/drawing/2014/chart" uri="{C3380CC4-5D6E-409C-BE32-E72D297353CC}">
              <c16:uniqueId val="{00000003-1B43-44DA-8BB5-EFF866E3426C}"/>
            </c:ext>
          </c:extLst>
        </c:ser>
        <c:ser>
          <c:idx val="3"/>
          <c:order val="4"/>
          <c:tx>
            <c:strRef>
              <c:f>'Long term incidence'!$F$32</c:f>
              <c:strCache>
                <c:ptCount val="1"/>
                <c:pt idx="0">
                  <c:v>2020-21</c:v>
                </c:pt>
              </c:strCache>
            </c:strRef>
          </c:tx>
          <c:spPr>
            <a:solidFill>
              <a:srgbClr val="E7E6E6">
                <a:lumMod val="25000"/>
              </a:srgbClr>
            </a:solidFill>
            <a:ln>
              <a:solidFill>
                <a:sysClr val="windowText" lastClr="000000"/>
              </a:solidFill>
            </a:ln>
          </c:spPr>
          <c:invertIfNegative val="0"/>
          <c:cat>
            <c:strRef>
              <c:f>'Long term incidence'!$A$33:$A$42</c:f>
              <c:strCache>
                <c:ptCount val="10"/>
                <c:pt idx="0">
                  <c:v>QLD</c:v>
                </c:pt>
                <c:pt idx="1">
                  <c:v>VIC</c:v>
                </c:pt>
                <c:pt idx="2">
                  <c:v>NSW</c:v>
                </c:pt>
                <c:pt idx="3">
                  <c:v>WA</c:v>
                </c:pt>
                <c:pt idx="4">
                  <c:v>TAS</c:v>
                </c:pt>
                <c:pt idx="5">
                  <c:v>ACT</c:v>
                </c:pt>
                <c:pt idx="6">
                  <c:v>SA</c:v>
                </c:pt>
                <c:pt idx="7">
                  <c:v>NT</c:v>
                </c:pt>
                <c:pt idx="8">
                  <c:v>Aus Gov</c:v>
                </c:pt>
                <c:pt idx="9">
                  <c:v>Aus total</c:v>
                </c:pt>
              </c:strCache>
            </c:strRef>
          </c:cat>
          <c:val>
            <c:numRef>
              <c:f>'Long term incidence'!$F$33:$F$42</c:f>
              <c:numCache>
                <c:formatCode>0.0</c:formatCode>
                <c:ptCount val="10"/>
                <c:pt idx="0">
                  <c:v>2.9</c:v>
                </c:pt>
                <c:pt idx="1">
                  <c:v>2.7</c:v>
                </c:pt>
                <c:pt idx="2">
                  <c:v>2.8</c:v>
                </c:pt>
                <c:pt idx="3">
                  <c:v>2.8</c:v>
                </c:pt>
                <c:pt idx="4">
                  <c:v>2.6</c:v>
                </c:pt>
                <c:pt idx="5">
                  <c:v>2.2999999999999998</c:v>
                </c:pt>
                <c:pt idx="6">
                  <c:v>2.2000000000000002</c:v>
                </c:pt>
                <c:pt idx="7">
                  <c:v>1.7</c:v>
                </c:pt>
                <c:pt idx="8">
                  <c:v>1</c:v>
                </c:pt>
                <c:pt idx="9">
                  <c:v>2.6</c:v>
                </c:pt>
              </c:numCache>
            </c:numRef>
          </c:val>
          <c:extLst>
            <c:ext xmlns:c16="http://schemas.microsoft.com/office/drawing/2014/chart" uri="{C3380CC4-5D6E-409C-BE32-E72D297353CC}">
              <c16:uniqueId val="{00000004-1B43-44DA-8BB5-EFF866E3426C}"/>
            </c:ext>
          </c:extLst>
        </c:ser>
        <c:ser>
          <c:idx val="4"/>
          <c:order val="5"/>
          <c:tx>
            <c:strRef>
              <c:f>'Long term incidence'!$G$32</c:f>
              <c:strCache>
                <c:ptCount val="1"/>
                <c:pt idx="0">
                  <c:v>2021-22p</c:v>
                </c:pt>
              </c:strCache>
            </c:strRef>
          </c:tx>
          <c:spPr>
            <a:solidFill>
              <a:srgbClr val="C00000"/>
            </a:solidFill>
            <a:ln>
              <a:solidFill>
                <a:sysClr val="windowText" lastClr="000000"/>
              </a:solidFill>
            </a:ln>
          </c:spPr>
          <c:invertIfNegative val="0"/>
          <c:cat>
            <c:strRef>
              <c:f>'Long term incidence'!$A$33:$A$42</c:f>
              <c:strCache>
                <c:ptCount val="10"/>
                <c:pt idx="0">
                  <c:v>QLD</c:v>
                </c:pt>
                <c:pt idx="1">
                  <c:v>VIC</c:v>
                </c:pt>
                <c:pt idx="2">
                  <c:v>NSW</c:v>
                </c:pt>
                <c:pt idx="3">
                  <c:v>WA</c:v>
                </c:pt>
                <c:pt idx="4">
                  <c:v>TAS</c:v>
                </c:pt>
                <c:pt idx="5">
                  <c:v>ACT</c:v>
                </c:pt>
                <c:pt idx="6">
                  <c:v>SA</c:v>
                </c:pt>
                <c:pt idx="7">
                  <c:v>NT</c:v>
                </c:pt>
                <c:pt idx="8">
                  <c:v>Aus Gov</c:v>
                </c:pt>
                <c:pt idx="9">
                  <c:v>Aus total</c:v>
                </c:pt>
              </c:strCache>
            </c:strRef>
          </c:cat>
          <c:val>
            <c:numRef>
              <c:f>'Long term incidence'!$G$33:$G$42</c:f>
              <c:numCache>
                <c:formatCode>0.0</c:formatCode>
                <c:ptCount val="10"/>
                <c:pt idx="0">
                  <c:v>2.6</c:v>
                </c:pt>
                <c:pt idx="1">
                  <c:v>2.5</c:v>
                </c:pt>
                <c:pt idx="2">
                  <c:v>2.5</c:v>
                </c:pt>
                <c:pt idx="3">
                  <c:v>2.4</c:v>
                </c:pt>
                <c:pt idx="4">
                  <c:v>2.2999999999999998</c:v>
                </c:pt>
                <c:pt idx="5">
                  <c:v>1.9</c:v>
                </c:pt>
                <c:pt idx="6">
                  <c:v>1.6</c:v>
                </c:pt>
                <c:pt idx="7">
                  <c:v>0.9</c:v>
                </c:pt>
                <c:pt idx="8">
                  <c:v>0.8</c:v>
                </c:pt>
                <c:pt idx="9">
                  <c:v>2.4</c:v>
                </c:pt>
              </c:numCache>
            </c:numRef>
          </c:val>
          <c:extLst>
            <c:ext xmlns:c16="http://schemas.microsoft.com/office/drawing/2014/chart" uri="{C3380CC4-5D6E-409C-BE32-E72D297353CC}">
              <c16:uniqueId val="{00000005-1B43-44DA-8BB5-EFF866E3426C}"/>
            </c:ext>
          </c:extLst>
        </c:ser>
        <c:dLbls>
          <c:showLegendKey val="0"/>
          <c:showVal val="0"/>
          <c:showCatName val="0"/>
          <c:showSerName val="0"/>
          <c:showPercent val="0"/>
          <c:showBubbleSize val="0"/>
        </c:dLbls>
        <c:gapWidth val="150"/>
        <c:axId val="285711744"/>
        <c:axId val="293123584"/>
      </c:barChart>
      <c:lineChart>
        <c:grouping val="standard"/>
        <c:varyColors val="0"/>
        <c:ser>
          <c:idx val="5"/>
          <c:order val="6"/>
          <c:tx>
            <c:strRef>
              <c:f>'Long term incidence'!$H$32</c:f>
              <c:strCache>
                <c:ptCount val="1"/>
                <c:pt idx="0">
                  <c:v>2021-22 Aus</c:v>
                </c:pt>
              </c:strCache>
            </c:strRef>
          </c:tx>
          <c:spPr>
            <a:ln>
              <a:solidFill>
                <a:srgbClr val="C00000"/>
              </a:solidFill>
            </a:ln>
          </c:spPr>
          <c:marker>
            <c:symbol val="none"/>
          </c:marker>
          <c:cat>
            <c:strRef>
              <c:f>'Long term incidence'!$A$33:$A$42</c:f>
              <c:strCache>
                <c:ptCount val="10"/>
                <c:pt idx="0">
                  <c:v>QLD</c:v>
                </c:pt>
                <c:pt idx="1">
                  <c:v>VIC</c:v>
                </c:pt>
                <c:pt idx="2">
                  <c:v>NSW</c:v>
                </c:pt>
                <c:pt idx="3">
                  <c:v>WA</c:v>
                </c:pt>
                <c:pt idx="4">
                  <c:v>TAS</c:v>
                </c:pt>
                <c:pt idx="5">
                  <c:v>ACT</c:v>
                </c:pt>
                <c:pt idx="6">
                  <c:v>SA</c:v>
                </c:pt>
                <c:pt idx="7">
                  <c:v>NT</c:v>
                </c:pt>
                <c:pt idx="8">
                  <c:v>Aus Gov</c:v>
                </c:pt>
                <c:pt idx="9">
                  <c:v>Aus total</c:v>
                </c:pt>
              </c:strCache>
            </c:strRef>
          </c:cat>
          <c:val>
            <c:numRef>
              <c:f>'Long term incidence'!$H$33:$H$42</c:f>
              <c:numCache>
                <c:formatCode>General</c:formatCode>
                <c:ptCount val="10"/>
                <c:pt idx="0" formatCode="0.0">
                  <c:v>2.4</c:v>
                </c:pt>
                <c:pt idx="1">
                  <c:v>2.4</c:v>
                </c:pt>
                <c:pt idx="2" formatCode="0.0">
                  <c:v>2.4</c:v>
                </c:pt>
                <c:pt idx="3">
                  <c:v>2.4</c:v>
                </c:pt>
                <c:pt idx="4" formatCode="0.0">
                  <c:v>2.4</c:v>
                </c:pt>
                <c:pt idx="5">
                  <c:v>2.4</c:v>
                </c:pt>
                <c:pt idx="6" formatCode="0.0">
                  <c:v>2.4</c:v>
                </c:pt>
                <c:pt idx="7">
                  <c:v>2.4</c:v>
                </c:pt>
                <c:pt idx="8" formatCode="0.0">
                  <c:v>2.4</c:v>
                </c:pt>
                <c:pt idx="9">
                  <c:v>2.4</c:v>
                </c:pt>
              </c:numCache>
            </c:numRef>
          </c:val>
          <c:smooth val="0"/>
          <c:extLst>
            <c:ext xmlns:c16="http://schemas.microsoft.com/office/drawing/2014/chart" uri="{C3380CC4-5D6E-409C-BE32-E72D297353CC}">
              <c16:uniqueId val="{00000006-1B43-44DA-8BB5-EFF866E3426C}"/>
            </c:ext>
          </c:extLst>
        </c:ser>
        <c:dLbls>
          <c:showLegendKey val="0"/>
          <c:showVal val="0"/>
          <c:showCatName val="0"/>
          <c:showSerName val="0"/>
          <c:showPercent val="0"/>
          <c:showBubbleSize val="0"/>
        </c:dLbls>
        <c:marker val="1"/>
        <c:smooth val="0"/>
        <c:axId val="285711744"/>
        <c:axId val="293123584"/>
      </c:lineChart>
      <c:catAx>
        <c:axId val="285711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93123584"/>
        <c:crosses val="autoZero"/>
        <c:auto val="1"/>
        <c:lblAlgn val="ctr"/>
        <c:lblOffset val="100"/>
        <c:tickMarkSkip val="1"/>
        <c:noMultiLvlLbl val="0"/>
      </c:catAx>
      <c:valAx>
        <c:axId val="293123584"/>
        <c:scaling>
          <c:orientation val="minMax"/>
          <c:max val="4.2"/>
          <c:min val="0"/>
        </c:scaling>
        <c:delete val="0"/>
        <c:axPos val="l"/>
        <c:majorGridlines>
          <c:spPr>
            <a:ln w="3175">
              <a:solidFill>
                <a:srgbClr val="969696"/>
              </a:solidFill>
              <a:prstDash val="solid"/>
            </a:ln>
          </c:spPr>
        </c:majorGridlines>
        <c:title>
          <c:tx>
            <c:rich>
              <a:bodyPr/>
              <a:lstStyle/>
              <a:p>
                <a:pPr>
                  <a:defRPr sz="800" b="0" i="0" u="none" strike="noStrike" baseline="0">
                    <a:solidFill>
                      <a:srgbClr val="000000"/>
                    </a:solidFill>
                    <a:latin typeface="Arial"/>
                    <a:ea typeface="Arial"/>
                    <a:cs typeface="Arial"/>
                  </a:defRPr>
                </a:pPr>
                <a:r>
                  <a:rPr lang="en-AU"/>
                  <a:t>Claims per</a:t>
                </a:r>
                <a:r>
                  <a:rPr lang="en-AU" baseline="0"/>
                  <a:t> million hours worked</a:t>
                </a:r>
                <a:endParaRPr lang="en-AU"/>
              </a:p>
            </c:rich>
          </c:tx>
          <c:layout>
            <c:manualLayout>
              <c:xMode val="edge"/>
              <c:yMode val="edge"/>
              <c:x val="8.1042638069971168E-2"/>
              <c:y val="6.7996265996592101E-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5711744"/>
        <c:crosses val="autoZero"/>
        <c:crossBetween val="between"/>
        <c:majorUnit val="1"/>
      </c:valAx>
      <c:dTable>
        <c:showHorzBorder val="0"/>
        <c:showVertBorder val="0"/>
        <c:showOutline val="0"/>
        <c:showKeys val="1"/>
        <c:spPr>
          <a:ln w="3175">
            <a:solidFill>
              <a:srgbClr val="000000"/>
            </a:solidFill>
            <a:prstDash val="solid"/>
          </a:ln>
        </c:spPr>
        <c:txPr>
          <a:bodyPr/>
          <a:lstStyle/>
          <a:p>
            <a:pPr rtl="0">
              <a:defRPr sz="800" b="0" i="0" u="none" strike="noStrike" baseline="0">
                <a:solidFill>
                  <a:srgbClr val="000000"/>
                </a:solidFill>
                <a:latin typeface="Arial"/>
                <a:ea typeface="Arial"/>
                <a:cs typeface="Arial"/>
              </a:defRPr>
            </a:pPr>
            <a:endParaRPr lang="en-US"/>
          </a:p>
        </c:txPr>
      </c:dTable>
      <c:spPr>
        <a:no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'Indicator 10 (10a - 10h)'!$G$5</c:f>
              <c:strCache>
                <c:ptCount val="1"/>
                <c:pt idx="0">
                  <c:v>2021-22p</c:v>
                </c:pt>
              </c:strCache>
            </c:strRef>
          </c:tx>
          <c:spPr>
            <a:solidFill>
              <a:srgbClr val="C00000"/>
            </a:solidFill>
            <a:ln w="6350">
              <a:solidFill>
                <a:sysClr val="windowText" lastClr="000000"/>
              </a:solidFill>
            </a:ln>
            <a:effectLst/>
          </c:spPr>
          <c:invertIfNegative val="0"/>
          <c:cat>
            <c:strRef>
              <c:f>'Indicator 10 (10a - 10h)'!$A$9:$A$16</c:f>
              <c:strCache>
                <c:ptCount val="8"/>
                <c:pt idx="0">
                  <c:v>Heat, electricity and other environmental factors</c:v>
                </c:pt>
                <c:pt idx="1">
                  <c:v>Vehicle incidents and other</c:v>
                </c:pt>
                <c:pt idx="2">
                  <c:v>Hitting objects with a part of the body</c:v>
                </c:pt>
                <c:pt idx="3">
                  <c:v>Mental stress</c:v>
                </c:pt>
                <c:pt idx="4">
                  <c:v>Other mechanisms</c:v>
                </c:pt>
                <c:pt idx="5">
                  <c:v>Being hit by moving objects</c:v>
                </c:pt>
                <c:pt idx="6">
                  <c:v>Falls, trips and slips of a person</c:v>
                </c:pt>
                <c:pt idx="7">
                  <c:v>Body stressing</c:v>
                </c:pt>
              </c:strCache>
            </c:strRef>
          </c:cat>
          <c:val>
            <c:numRef>
              <c:f>'Indicator 10 (10a - 10h)'!$G$9:$G$16</c:f>
              <c:numCache>
                <c:formatCode>0.0</c:formatCode>
                <c:ptCount val="8"/>
                <c:pt idx="0">
                  <c:v>1.2</c:v>
                </c:pt>
                <c:pt idx="1">
                  <c:v>5.3</c:v>
                </c:pt>
                <c:pt idx="2">
                  <c:v>6.6000000000000005</c:v>
                </c:pt>
                <c:pt idx="3">
                  <c:v>8.5</c:v>
                </c:pt>
                <c:pt idx="4">
                  <c:v>8.6712170074203954</c:v>
                </c:pt>
                <c:pt idx="5">
                  <c:v>15.1</c:v>
                </c:pt>
                <c:pt idx="6">
                  <c:v>22</c:v>
                </c:pt>
                <c:pt idx="7">
                  <c:v>32.6</c:v>
                </c:pt>
              </c:numCache>
            </c:numRef>
          </c:val>
          <c:extLst>
            <c:ext xmlns:c16="http://schemas.microsoft.com/office/drawing/2014/chart" uri="{C3380CC4-5D6E-409C-BE32-E72D297353CC}">
              <c16:uniqueId val="{00000000-4339-43A8-981E-014EC2D960C6}"/>
            </c:ext>
          </c:extLst>
        </c:ser>
        <c:ser>
          <c:idx val="1"/>
          <c:order val="1"/>
          <c:tx>
            <c:strRef>
              <c:f>'Indicator 10 (10a - 10h)'!$F$5</c:f>
              <c:strCache>
                <c:ptCount val="1"/>
                <c:pt idx="0">
                  <c:v>2020-21</c:v>
                </c:pt>
              </c:strCache>
            </c:strRef>
          </c:tx>
          <c:spPr>
            <a:solidFill>
              <a:schemeClr val="bg2">
                <a:lumMod val="25000"/>
              </a:schemeClr>
            </a:solidFill>
            <a:ln w="6350">
              <a:solidFill>
                <a:sysClr val="windowText" lastClr="000000"/>
              </a:solidFill>
            </a:ln>
            <a:effectLst/>
          </c:spPr>
          <c:invertIfNegative val="0"/>
          <c:cat>
            <c:strRef>
              <c:f>'Indicator 10 (10a - 10h)'!$A$9:$A$16</c:f>
              <c:strCache>
                <c:ptCount val="8"/>
                <c:pt idx="0">
                  <c:v>Heat, electricity and other environmental factors</c:v>
                </c:pt>
                <c:pt idx="1">
                  <c:v>Vehicle incidents and other</c:v>
                </c:pt>
                <c:pt idx="2">
                  <c:v>Hitting objects with a part of the body</c:v>
                </c:pt>
                <c:pt idx="3">
                  <c:v>Mental stress</c:v>
                </c:pt>
                <c:pt idx="4">
                  <c:v>Other mechanisms</c:v>
                </c:pt>
                <c:pt idx="5">
                  <c:v>Being hit by moving objects</c:v>
                </c:pt>
                <c:pt idx="6">
                  <c:v>Falls, trips and slips of a person</c:v>
                </c:pt>
                <c:pt idx="7">
                  <c:v>Body stressing</c:v>
                </c:pt>
              </c:strCache>
            </c:strRef>
          </c:cat>
          <c:val>
            <c:numRef>
              <c:f>'Indicator 10 (10a - 10h)'!$F$9:$F$16</c:f>
              <c:numCache>
                <c:formatCode>0.0</c:formatCode>
                <c:ptCount val="8"/>
                <c:pt idx="0">
                  <c:v>1.3</c:v>
                </c:pt>
                <c:pt idx="1">
                  <c:v>5.5</c:v>
                </c:pt>
                <c:pt idx="2">
                  <c:v>7.1999999999999993</c:v>
                </c:pt>
                <c:pt idx="3">
                  <c:v>8.9</c:v>
                </c:pt>
                <c:pt idx="4">
                  <c:v>1.4410382289400123</c:v>
                </c:pt>
                <c:pt idx="5">
                  <c:v>15.2</c:v>
                </c:pt>
                <c:pt idx="6">
                  <c:v>23</c:v>
                </c:pt>
                <c:pt idx="7">
                  <c:v>37.5</c:v>
                </c:pt>
              </c:numCache>
            </c:numRef>
          </c:val>
          <c:extLst>
            <c:ext xmlns:c16="http://schemas.microsoft.com/office/drawing/2014/chart" uri="{C3380CC4-5D6E-409C-BE32-E72D297353CC}">
              <c16:uniqueId val="{00000001-4339-43A8-981E-014EC2D960C6}"/>
            </c:ext>
          </c:extLst>
        </c:ser>
        <c:ser>
          <c:idx val="2"/>
          <c:order val="2"/>
          <c:tx>
            <c:strRef>
              <c:f>'Indicator 10 (10a - 10h)'!$E$5</c:f>
              <c:strCache>
                <c:ptCount val="1"/>
                <c:pt idx="0">
                  <c:v>2019-20</c:v>
                </c:pt>
              </c:strCache>
            </c:strRef>
          </c:tx>
          <c:spPr>
            <a:solidFill>
              <a:schemeClr val="bg2">
                <a:lumMod val="50000"/>
              </a:schemeClr>
            </a:solidFill>
            <a:ln w="6350">
              <a:solidFill>
                <a:sysClr val="windowText" lastClr="000000"/>
              </a:solidFill>
            </a:ln>
            <a:effectLst/>
          </c:spPr>
          <c:invertIfNegative val="0"/>
          <c:cat>
            <c:strRef>
              <c:f>'Indicator 10 (10a - 10h)'!$A$9:$A$16</c:f>
              <c:strCache>
                <c:ptCount val="8"/>
                <c:pt idx="0">
                  <c:v>Heat, electricity and other environmental factors</c:v>
                </c:pt>
                <c:pt idx="1">
                  <c:v>Vehicle incidents and other</c:v>
                </c:pt>
                <c:pt idx="2">
                  <c:v>Hitting objects with a part of the body</c:v>
                </c:pt>
                <c:pt idx="3">
                  <c:v>Mental stress</c:v>
                </c:pt>
                <c:pt idx="4">
                  <c:v>Other mechanisms</c:v>
                </c:pt>
                <c:pt idx="5">
                  <c:v>Being hit by moving objects</c:v>
                </c:pt>
                <c:pt idx="6">
                  <c:v>Falls, trips and slips of a person</c:v>
                </c:pt>
                <c:pt idx="7">
                  <c:v>Body stressing</c:v>
                </c:pt>
              </c:strCache>
            </c:strRef>
          </c:cat>
          <c:val>
            <c:numRef>
              <c:f>'Indicator 10 (10a - 10h)'!$E$9:$E$16</c:f>
              <c:numCache>
                <c:formatCode>0.0</c:formatCode>
                <c:ptCount val="8"/>
                <c:pt idx="0">
                  <c:v>1.3</c:v>
                </c:pt>
                <c:pt idx="1">
                  <c:v>5.5</c:v>
                </c:pt>
                <c:pt idx="2">
                  <c:v>7.1</c:v>
                </c:pt>
                <c:pt idx="3">
                  <c:v>8.9</c:v>
                </c:pt>
                <c:pt idx="4">
                  <c:v>1.4100082941664362</c:v>
                </c:pt>
                <c:pt idx="5">
                  <c:v>15.6</c:v>
                </c:pt>
                <c:pt idx="6">
                  <c:v>23</c:v>
                </c:pt>
                <c:pt idx="7">
                  <c:v>37.200000000000003</c:v>
                </c:pt>
              </c:numCache>
            </c:numRef>
          </c:val>
          <c:extLst>
            <c:ext xmlns:c16="http://schemas.microsoft.com/office/drawing/2014/chart" uri="{C3380CC4-5D6E-409C-BE32-E72D297353CC}">
              <c16:uniqueId val="{00000002-4339-43A8-981E-014EC2D960C6}"/>
            </c:ext>
          </c:extLst>
        </c:ser>
        <c:ser>
          <c:idx val="3"/>
          <c:order val="3"/>
          <c:tx>
            <c:strRef>
              <c:f>'Indicator 10 (10a - 10h)'!$D$5</c:f>
              <c:strCache>
                <c:ptCount val="1"/>
                <c:pt idx="0">
                  <c:v>2018-19</c:v>
                </c:pt>
              </c:strCache>
            </c:strRef>
          </c:tx>
          <c:spPr>
            <a:solidFill>
              <a:schemeClr val="accent3"/>
            </a:solidFill>
            <a:ln w="6350">
              <a:solidFill>
                <a:sysClr val="windowText" lastClr="000000"/>
              </a:solidFill>
            </a:ln>
            <a:effectLst/>
          </c:spPr>
          <c:invertIfNegative val="0"/>
          <c:cat>
            <c:strRef>
              <c:f>'Indicator 10 (10a - 10h)'!$A$9:$A$16</c:f>
              <c:strCache>
                <c:ptCount val="8"/>
                <c:pt idx="0">
                  <c:v>Heat, electricity and other environmental factors</c:v>
                </c:pt>
                <c:pt idx="1">
                  <c:v>Vehicle incidents and other</c:v>
                </c:pt>
                <c:pt idx="2">
                  <c:v>Hitting objects with a part of the body</c:v>
                </c:pt>
                <c:pt idx="3">
                  <c:v>Mental stress</c:v>
                </c:pt>
                <c:pt idx="4">
                  <c:v>Other mechanisms</c:v>
                </c:pt>
                <c:pt idx="5">
                  <c:v>Being hit by moving objects</c:v>
                </c:pt>
                <c:pt idx="6">
                  <c:v>Falls, trips and slips of a person</c:v>
                </c:pt>
                <c:pt idx="7">
                  <c:v>Body stressing</c:v>
                </c:pt>
              </c:strCache>
            </c:strRef>
          </c:cat>
          <c:val>
            <c:numRef>
              <c:f>'Indicator 10 (10a - 10h)'!$D$9:$D$16</c:f>
              <c:numCache>
                <c:formatCode>0.0</c:formatCode>
                <c:ptCount val="8"/>
                <c:pt idx="0">
                  <c:v>1.3</c:v>
                </c:pt>
                <c:pt idx="1">
                  <c:v>7.3</c:v>
                </c:pt>
                <c:pt idx="2">
                  <c:v>6.6000000000000005</c:v>
                </c:pt>
                <c:pt idx="3">
                  <c:v>8.6999999999999993</c:v>
                </c:pt>
                <c:pt idx="4">
                  <c:v>1.3802412156572474</c:v>
                </c:pt>
                <c:pt idx="5">
                  <c:v>15.5</c:v>
                </c:pt>
                <c:pt idx="6">
                  <c:v>22.5</c:v>
                </c:pt>
                <c:pt idx="7">
                  <c:v>36.700000000000003</c:v>
                </c:pt>
              </c:numCache>
            </c:numRef>
          </c:val>
          <c:extLst>
            <c:ext xmlns:c16="http://schemas.microsoft.com/office/drawing/2014/chart" uri="{C3380CC4-5D6E-409C-BE32-E72D297353CC}">
              <c16:uniqueId val="{00000003-4339-43A8-981E-014EC2D960C6}"/>
            </c:ext>
          </c:extLst>
        </c:ser>
        <c:ser>
          <c:idx val="4"/>
          <c:order val="4"/>
          <c:tx>
            <c:strRef>
              <c:f>'Indicator 10 (10a - 10h)'!$C$5</c:f>
              <c:strCache>
                <c:ptCount val="1"/>
                <c:pt idx="0">
                  <c:v>2017-18</c:v>
                </c:pt>
              </c:strCache>
            </c:strRef>
          </c:tx>
          <c:spPr>
            <a:solidFill>
              <a:schemeClr val="accent3">
                <a:lumMod val="40000"/>
                <a:lumOff val="60000"/>
              </a:schemeClr>
            </a:solidFill>
            <a:ln w="6350">
              <a:solidFill>
                <a:sysClr val="windowText" lastClr="000000"/>
              </a:solidFill>
            </a:ln>
            <a:effectLst/>
          </c:spPr>
          <c:invertIfNegative val="0"/>
          <c:cat>
            <c:strRef>
              <c:f>'Indicator 10 (10a - 10h)'!$A$9:$A$16</c:f>
              <c:strCache>
                <c:ptCount val="8"/>
                <c:pt idx="0">
                  <c:v>Heat, electricity and other environmental factors</c:v>
                </c:pt>
                <c:pt idx="1">
                  <c:v>Vehicle incidents and other</c:v>
                </c:pt>
                <c:pt idx="2">
                  <c:v>Hitting objects with a part of the body</c:v>
                </c:pt>
                <c:pt idx="3">
                  <c:v>Mental stress</c:v>
                </c:pt>
                <c:pt idx="4">
                  <c:v>Other mechanisms</c:v>
                </c:pt>
                <c:pt idx="5">
                  <c:v>Being hit by moving objects</c:v>
                </c:pt>
                <c:pt idx="6">
                  <c:v>Falls, trips and slips of a person</c:v>
                </c:pt>
                <c:pt idx="7">
                  <c:v>Body stressing</c:v>
                </c:pt>
              </c:strCache>
            </c:strRef>
          </c:cat>
          <c:val>
            <c:numRef>
              <c:f>'Indicator 10 (10a - 10h)'!$C$9:$C$16</c:f>
              <c:numCache>
                <c:formatCode>0.0</c:formatCode>
                <c:ptCount val="8"/>
                <c:pt idx="0">
                  <c:v>1.3</c:v>
                </c:pt>
                <c:pt idx="1">
                  <c:v>7.1999999999999993</c:v>
                </c:pt>
                <c:pt idx="2">
                  <c:v>6.9</c:v>
                </c:pt>
                <c:pt idx="3">
                  <c:v>7.5</c:v>
                </c:pt>
                <c:pt idx="4">
                  <c:v>2.0822141123728719</c:v>
                </c:pt>
                <c:pt idx="5">
                  <c:v>15.299999999999999</c:v>
                </c:pt>
                <c:pt idx="6">
                  <c:v>23</c:v>
                </c:pt>
                <c:pt idx="7">
                  <c:v>36.799999999999997</c:v>
                </c:pt>
              </c:numCache>
            </c:numRef>
          </c:val>
          <c:extLst>
            <c:ext xmlns:c16="http://schemas.microsoft.com/office/drawing/2014/chart" uri="{C3380CC4-5D6E-409C-BE32-E72D297353CC}">
              <c16:uniqueId val="{00000004-4339-43A8-981E-014EC2D960C6}"/>
            </c:ext>
          </c:extLst>
        </c:ser>
        <c:ser>
          <c:idx val="5"/>
          <c:order val="5"/>
          <c:tx>
            <c:strRef>
              <c:f>'Indicator 10 (10a - 10h)'!$B$5</c:f>
              <c:strCache>
                <c:ptCount val="1"/>
                <c:pt idx="0">
                  <c:v>2016-17</c:v>
                </c:pt>
              </c:strCache>
            </c:strRef>
          </c:tx>
          <c:spPr>
            <a:solidFill>
              <a:schemeClr val="bg1"/>
            </a:solidFill>
            <a:ln w="6350">
              <a:solidFill>
                <a:sysClr val="windowText" lastClr="000000"/>
              </a:solidFill>
            </a:ln>
            <a:effectLst/>
          </c:spPr>
          <c:invertIfNegative val="0"/>
          <c:cat>
            <c:strRef>
              <c:f>'Indicator 10 (10a - 10h)'!$A$9:$A$16</c:f>
              <c:strCache>
                <c:ptCount val="8"/>
                <c:pt idx="0">
                  <c:v>Heat, electricity and other environmental factors</c:v>
                </c:pt>
                <c:pt idx="1">
                  <c:v>Vehicle incidents and other</c:v>
                </c:pt>
                <c:pt idx="2">
                  <c:v>Hitting objects with a part of the body</c:v>
                </c:pt>
                <c:pt idx="3">
                  <c:v>Mental stress</c:v>
                </c:pt>
                <c:pt idx="4">
                  <c:v>Other mechanisms</c:v>
                </c:pt>
                <c:pt idx="5">
                  <c:v>Being hit by moving objects</c:v>
                </c:pt>
                <c:pt idx="6">
                  <c:v>Falls, trips and slips of a person</c:v>
                </c:pt>
                <c:pt idx="7">
                  <c:v>Body stressing</c:v>
                </c:pt>
              </c:strCache>
            </c:strRef>
          </c:cat>
          <c:val>
            <c:numRef>
              <c:f>'Indicator 10 (10a - 10h)'!$B$9:$B$16</c:f>
              <c:numCache>
                <c:formatCode>0.0</c:formatCode>
                <c:ptCount val="8"/>
                <c:pt idx="0">
                  <c:v>1.3</c:v>
                </c:pt>
                <c:pt idx="1">
                  <c:v>6.6000000000000005</c:v>
                </c:pt>
                <c:pt idx="2">
                  <c:v>7.3999999999999995</c:v>
                </c:pt>
                <c:pt idx="3">
                  <c:v>6.9</c:v>
                </c:pt>
                <c:pt idx="4">
                  <c:v>1.2671373176703729</c:v>
                </c:pt>
                <c:pt idx="5">
                  <c:v>15</c:v>
                </c:pt>
                <c:pt idx="6">
                  <c:v>23.3</c:v>
                </c:pt>
                <c:pt idx="7">
                  <c:v>38.299999999999997</c:v>
                </c:pt>
              </c:numCache>
            </c:numRef>
          </c:val>
          <c:extLst>
            <c:ext xmlns:c16="http://schemas.microsoft.com/office/drawing/2014/chart" uri="{C3380CC4-5D6E-409C-BE32-E72D297353CC}">
              <c16:uniqueId val="{00000005-4339-43A8-981E-014EC2D960C6}"/>
            </c:ext>
          </c:extLst>
        </c:ser>
        <c:dLbls>
          <c:showLegendKey val="0"/>
          <c:showVal val="0"/>
          <c:showCatName val="0"/>
          <c:showSerName val="0"/>
          <c:showPercent val="0"/>
          <c:showBubbleSize val="0"/>
        </c:dLbls>
        <c:gapWidth val="182"/>
        <c:axId val="1678570896"/>
        <c:axId val="1671268496"/>
      </c:barChart>
      <c:catAx>
        <c:axId val="1678570896"/>
        <c:scaling>
          <c:orientation val="minMax"/>
        </c:scaling>
        <c:delete val="0"/>
        <c:axPos val="l"/>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1268496"/>
        <c:crossesAt val="0"/>
        <c:auto val="1"/>
        <c:lblAlgn val="ctr"/>
        <c:lblOffset val="100"/>
        <c:noMultiLvlLbl val="0"/>
      </c:catAx>
      <c:valAx>
        <c:axId val="1671268496"/>
        <c:scaling>
          <c:orientation val="minMax"/>
          <c:max val="45"/>
          <c:min val="0"/>
        </c:scaling>
        <c:delete val="0"/>
        <c:axPos val="b"/>
        <c:majorGridlines>
          <c:spPr>
            <a:ln w="6350"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50" b="1">
                    <a:solidFill>
                      <a:sysClr val="windowText" lastClr="000000"/>
                    </a:solidFill>
                    <a:latin typeface="Arial" panose="020B0604020202020204" pitchFamily="34" charset="0"/>
                    <a:cs typeface="Arial" panose="020B0604020202020204" pitchFamily="34" charset="0"/>
                  </a:rPr>
                  <a:t>Proportion of Claims (%)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78570896"/>
        <c:crosses val="autoZero"/>
        <c:crossBetween val="between"/>
      </c:valAx>
      <c:spPr>
        <a:noFill/>
        <a:ln>
          <a:solidFill>
            <a:schemeClr val="tx1"/>
          </a:solidFill>
        </a:ln>
        <a:effectLst/>
      </c:spPr>
    </c:plotArea>
    <c:legend>
      <c:legendPos val="r"/>
      <c:layout>
        <c:manualLayout>
          <c:xMode val="edge"/>
          <c:yMode val="edge"/>
          <c:x val="0.7838282488834899"/>
          <c:y val="0.38100828221568667"/>
          <c:w val="0.1421350334770955"/>
          <c:h val="0.38553137522092851"/>
        </c:manualLayout>
      </c:layout>
      <c:overlay val="1"/>
      <c:spPr>
        <a:solidFill>
          <a:sysClr val="window" lastClr="FFFFFF"/>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Mechanism!$B$33</c:f>
              <c:strCache>
                <c:ptCount val="1"/>
                <c:pt idx="0">
                  <c:v>2016-17</c:v>
                </c:pt>
              </c:strCache>
            </c:strRef>
          </c:tx>
          <c:spPr>
            <a:solidFill>
              <a:sysClr val="window" lastClr="FFFFFF"/>
            </a:solidFill>
            <a:ln>
              <a:solidFill>
                <a:sysClr val="windowText" lastClr="000000"/>
              </a:solidFill>
            </a:ln>
          </c:spPr>
          <c:invertIfNegative val="0"/>
          <c:cat>
            <c:strRef>
              <c:f>Mechanism!$A$34:$A$44</c:f>
              <c:strCache>
                <c:ptCount val="11"/>
                <c:pt idx="0">
                  <c:v>Seacare</c:v>
                </c:pt>
                <c:pt idx="1">
                  <c:v>Aus Gov</c:v>
                </c:pt>
                <c:pt idx="2">
                  <c:v>SA</c:v>
                </c:pt>
                <c:pt idx="3">
                  <c:v>QLD</c:v>
                </c:pt>
                <c:pt idx="4">
                  <c:v>VIC</c:v>
                </c:pt>
                <c:pt idx="5">
                  <c:v>WA</c:v>
                </c:pt>
                <c:pt idx="6">
                  <c:v>TAS</c:v>
                </c:pt>
                <c:pt idx="7">
                  <c:v>ACT</c:v>
                </c:pt>
                <c:pt idx="8">
                  <c:v>NT</c:v>
                </c:pt>
                <c:pt idx="9">
                  <c:v>NSW</c:v>
                </c:pt>
                <c:pt idx="10">
                  <c:v>Aus total</c:v>
                </c:pt>
              </c:strCache>
            </c:strRef>
          </c:cat>
          <c:val>
            <c:numRef>
              <c:f>Mechanism!$B$34:$B$44</c:f>
              <c:numCache>
                <c:formatCode>0.0</c:formatCode>
                <c:ptCount val="11"/>
                <c:pt idx="0">
                  <c:v>47.099999999999994</c:v>
                </c:pt>
                <c:pt idx="1">
                  <c:v>41</c:v>
                </c:pt>
                <c:pt idx="2">
                  <c:v>41.6</c:v>
                </c:pt>
                <c:pt idx="3">
                  <c:v>37.9</c:v>
                </c:pt>
                <c:pt idx="4">
                  <c:v>40.1</c:v>
                </c:pt>
                <c:pt idx="5">
                  <c:v>40</c:v>
                </c:pt>
                <c:pt idx="6">
                  <c:v>41.699999999999996</c:v>
                </c:pt>
                <c:pt idx="7">
                  <c:v>34.9</c:v>
                </c:pt>
                <c:pt idx="8">
                  <c:v>31.2</c:v>
                </c:pt>
                <c:pt idx="9">
                  <c:v>36.6</c:v>
                </c:pt>
                <c:pt idx="10">
                  <c:v>38.299999999999997</c:v>
                </c:pt>
              </c:numCache>
            </c:numRef>
          </c:val>
          <c:extLst>
            <c:ext xmlns:c16="http://schemas.microsoft.com/office/drawing/2014/chart" uri="{C3380CC4-5D6E-409C-BE32-E72D297353CC}">
              <c16:uniqueId val="{00000000-640F-4573-ABAF-A9C0CF296C3B}"/>
            </c:ext>
          </c:extLst>
        </c:ser>
        <c:ser>
          <c:idx val="1"/>
          <c:order val="1"/>
          <c:tx>
            <c:strRef>
              <c:f>Mechanism!$C$33</c:f>
              <c:strCache>
                <c:ptCount val="1"/>
                <c:pt idx="0">
                  <c:v>2017-18</c:v>
                </c:pt>
              </c:strCache>
            </c:strRef>
          </c:tx>
          <c:spPr>
            <a:solidFill>
              <a:srgbClr val="E7E6E6">
                <a:lumMod val="90000"/>
              </a:srgbClr>
            </a:solidFill>
            <a:ln>
              <a:solidFill>
                <a:sysClr val="windowText" lastClr="000000"/>
              </a:solidFill>
            </a:ln>
          </c:spPr>
          <c:invertIfNegative val="0"/>
          <c:cat>
            <c:strRef>
              <c:f>Mechanism!$A$34:$A$44</c:f>
              <c:strCache>
                <c:ptCount val="11"/>
                <c:pt idx="0">
                  <c:v>Seacare</c:v>
                </c:pt>
                <c:pt idx="1">
                  <c:v>Aus Gov</c:v>
                </c:pt>
                <c:pt idx="2">
                  <c:v>SA</c:v>
                </c:pt>
                <c:pt idx="3">
                  <c:v>QLD</c:v>
                </c:pt>
                <c:pt idx="4">
                  <c:v>VIC</c:v>
                </c:pt>
                <c:pt idx="5">
                  <c:v>WA</c:v>
                </c:pt>
                <c:pt idx="6">
                  <c:v>TAS</c:v>
                </c:pt>
                <c:pt idx="7">
                  <c:v>ACT</c:v>
                </c:pt>
                <c:pt idx="8">
                  <c:v>NT</c:v>
                </c:pt>
                <c:pt idx="9">
                  <c:v>NSW</c:v>
                </c:pt>
                <c:pt idx="10">
                  <c:v>Aus total</c:v>
                </c:pt>
              </c:strCache>
            </c:strRef>
          </c:cat>
          <c:val>
            <c:numRef>
              <c:f>Mechanism!$C$34:$C$44</c:f>
              <c:numCache>
                <c:formatCode>0.0</c:formatCode>
                <c:ptCount val="11"/>
                <c:pt idx="0">
                  <c:v>45.7</c:v>
                </c:pt>
                <c:pt idx="1">
                  <c:v>42.6</c:v>
                </c:pt>
                <c:pt idx="2">
                  <c:v>34.300000000000004</c:v>
                </c:pt>
                <c:pt idx="3">
                  <c:v>36.4</c:v>
                </c:pt>
                <c:pt idx="4">
                  <c:v>39.700000000000003</c:v>
                </c:pt>
                <c:pt idx="5">
                  <c:v>39.1</c:v>
                </c:pt>
                <c:pt idx="6">
                  <c:v>39.200000000000003</c:v>
                </c:pt>
                <c:pt idx="7">
                  <c:v>37.299999999999997</c:v>
                </c:pt>
                <c:pt idx="8">
                  <c:v>36.199999999999996</c:v>
                </c:pt>
                <c:pt idx="9">
                  <c:v>34.699999999999996</c:v>
                </c:pt>
                <c:pt idx="10">
                  <c:v>36.799999999999997</c:v>
                </c:pt>
              </c:numCache>
            </c:numRef>
          </c:val>
          <c:extLst>
            <c:ext xmlns:c16="http://schemas.microsoft.com/office/drawing/2014/chart" uri="{C3380CC4-5D6E-409C-BE32-E72D297353CC}">
              <c16:uniqueId val="{00000001-640F-4573-ABAF-A9C0CF296C3B}"/>
            </c:ext>
          </c:extLst>
        </c:ser>
        <c:ser>
          <c:idx val="2"/>
          <c:order val="2"/>
          <c:tx>
            <c:strRef>
              <c:f>Mechanism!$D$33</c:f>
              <c:strCache>
                <c:ptCount val="1"/>
                <c:pt idx="0">
                  <c:v>2018-19</c:v>
                </c:pt>
              </c:strCache>
            </c:strRef>
          </c:tx>
          <c:spPr>
            <a:solidFill>
              <a:srgbClr val="E7E6E6">
                <a:lumMod val="75000"/>
              </a:srgbClr>
            </a:solidFill>
            <a:ln>
              <a:solidFill>
                <a:sysClr val="windowText" lastClr="000000"/>
              </a:solidFill>
            </a:ln>
          </c:spPr>
          <c:invertIfNegative val="0"/>
          <c:cat>
            <c:strRef>
              <c:f>Mechanism!$A$34:$A$44</c:f>
              <c:strCache>
                <c:ptCount val="11"/>
                <c:pt idx="0">
                  <c:v>Seacare</c:v>
                </c:pt>
                <c:pt idx="1">
                  <c:v>Aus Gov</c:v>
                </c:pt>
                <c:pt idx="2">
                  <c:v>SA</c:v>
                </c:pt>
                <c:pt idx="3">
                  <c:v>QLD</c:v>
                </c:pt>
                <c:pt idx="4">
                  <c:v>VIC</c:v>
                </c:pt>
                <c:pt idx="5">
                  <c:v>WA</c:v>
                </c:pt>
                <c:pt idx="6">
                  <c:v>TAS</c:v>
                </c:pt>
                <c:pt idx="7">
                  <c:v>ACT</c:v>
                </c:pt>
                <c:pt idx="8">
                  <c:v>NT</c:v>
                </c:pt>
                <c:pt idx="9">
                  <c:v>NSW</c:v>
                </c:pt>
                <c:pt idx="10">
                  <c:v>Aus total</c:v>
                </c:pt>
              </c:strCache>
            </c:strRef>
          </c:cat>
          <c:val>
            <c:numRef>
              <c:f>Mechanism!$D$34:$D$44</c:f>
              <c:numCache>
                <c:formatCode>0.0</c:formatCode>
                <c:ptCount val="11"/>
                <c:pt idx="0">
                  <c:v>45.800000000000004</c:v>
                </c:pt>
                <c:pt idx="1">
                  <c:v>41.699999999999996</c:v>
                </c:pt>
                <c:pt idx="2">
                  <c:v>44.3</c:v>
                </c:pt>
                <c:pt idx="3">
                  <c:v>37</c:v>
                </c:pt>
                <c:pt idx="4">
                  <c:v>38.9</c:v>
                </c:pt>
                <c:pt idx="5">
                  <c:v>38</c:v>
                </c:pt>
                <c:pt idx="6">
                  <c:v>39.300000000000004</c:v>
                </c:pt>
                <c:pt idx="7">
                  <c:v>35.199999999999996</c:v>
                </c:pt>
                <c:pt idx="8">
                  <c:v>33.700000000000003</c:v>
                </c:pt>
                <c:pt idx="9">
                  <c:v>33.300000000000004</c:v>
                </c:pt>
                <c:pt idx="10">
                  <c:v>36.700000000000003</c:v>
                </c:pt>
              </c:numCache>
            </c:numRef>
          </c:val>
          <c:extLst>
            <c:ext xmlns:c16="http://schemas.microsoft.com/office/drawing/2014/chart" uri="{C3380CC4-5D6E-409C-BE32-E72D297353CC}">
              <c16:uniqueId val="{00000002-640F-4573-ABAF-A9C0CF296C3B}"/>
            </c:ext>
          </c:extLst>
        </c:ser>
        <c:ser>
          <c:idx val="3"/>
          <c:order val="3"/>
          <c:tx>
            <c:strRef>
              <c:f>Mechanism!$E$33</c:f>
              <c:strCache>
                <c:ptCount val="1"/>
                <c:pt idx="0">
                  <c:v>2019-20</c:v>
                </c:pt>
              </c:strCache>
            </c:strRef>
          </c:tx>
          <c:spPr>
            <a:solidFill>
              <a:srgbClr val="E7E6E6">
                <a:lumMod val="50000"/>
              </a:srgbClr>
            </a:solidFill>
            <a:ln>
              <a:solidFill>
                <a:sysClr val="windowText" lastClr="000000"/>
              </a:solidFill>
            </a:ln>
          </c:spPr>
          <c:invertIfNegative val="0"/>
          <c:cat>
            <c:strRef>
              <c:f>Mechanism!$A$34:$A$44</c:f>
              <c:strCache>
                <c:ptCount val="11"/>
                <c:pt idx="0">
                  <c:v>Seacare</c:v>
                </c:pt>
                <c:pt idx="1">
                  <c:v>Aus Gov</c:v>
                </c:pt>
                <c:pt idx="2">
                  <c:v>SA</c:v>
                </c:pt>
                <c:pt idx="3">
                  <c:v>QLD</c:v>
                </c:pt>
                <c:pt idx="4">
                  <c:v>VIC</c:v>
                </c:pt>
                <c:pt idx="5">
                  <c:v>WA</c:v>
                </c:pt>
                <c:pt idx="6">
                  <c:v>TAS</c:v>
                </c:pt>
                <c:pt idx="7">
                  <c:v>ACT</c:v>
                </c:pt>
                <c:pt idx="8">
                  <c:v>NT</c:v>
                </c:pt>
                <c:pt idx="9">
                  <c:v>NSW</c:v>
                </c:pt>
                <c:pt idx="10">
                  <c:v>Aus total</c:v>
                </c:pt>
              </c:strCache>
            </c:strRef>
          </c:cat>
          <c:val>
            <c:numRef>
              <c:f>Mechanism!$E$34:$E$44</c:f>
              <c:numCache>
                <c:formatCode>0.0</c:formatCode>
                <c:ptCount val="11"/>
                <c:pt idx="0">
                  <c:v>42.199999999999996</c:v>
                </c:pt>
                <c:pt idx="1">
                  <c:v>39.200000000000003</c:v>
                </c:pt>
                <c:pt idx="2">
                  <c:v>41.8</c:v>
                </c:pt>
                <c:pt idx="3">
                  <c:v>41.4</c:v>
                </c:pt>
                <c:pt idx="4">
                  <c:v>38.200000000000003</c:v>
                </c:pt>
                <c:pt idx="5">
                  <c:v>38</c:v>
                </c:pt>
                <c:pt idx="6">
                  <c:v>38.200000000000003</c:v>
                </c:pt>
                <c:pt idx="7">
                  <c:v>34.1</c:v>
                </c:pt>
                <c:pt idx="8">
                  <c:v>31.7</c:v>
                </c:pt>
                <c:pt idx="9">
                  <c:v>33.300000000000004</c:v>
                </c:pt>
                <c:pt idx="10">
                  <c:v>37.200000000000003</c:v>
                </c:pt>
              </c:numCache>
            </c:numRef>
          </c:val>
          <c:extLst>
            <c:ext xmlns:c16="http://schemas.microsoft.com/office/drawing/2014/chart" uri="{C3380CC4-5D6E-409C-BE32-E72D297353CC}">
              <c16:uniqueId val="{00000003-640F-4573-ABAF-A9C0CF296C3B}"/>
            </c:ext>
          </c:extLst>
        </c:ser>
        <c:ser>
          <c:idx val="4"/>
          <c:order val="4"/>
          <c:tx>
            <c:strRef>
              <c:f>Mechanism!$F$33</c:f>
              <c:strCache>
                <c:ptCount val="1"/>
                <c:pt idx="0">
                  <c:v>2020-21</c:v>
                </c:pt>
              </c:strCache>
            </c:strRef>
          </c:tx>
          <c:spPr>
            <a:solidFill>
              <a:srgbClr val="E7E6E6">
                <a:lumMod val="25000"/>
              </a:srgbClr>
            </a:solidFill>
            <a:ln>
              <a:solidFill>
                <a:sysClr val="windowText" lastClr="000000"/>
              </a:solidFill>
            </a:ln>
          </c:spPr>
          <c:invertIfNegative val="0"/>
          <c:cat>
            <c:strRef>
              <c:f>Mechanism!$A$34:$A$44</c:f>
              <c:strCache>
                <c:ptCount val="11"/>
                <c:pt idx="0">
                  <c:v>Seacare</c:v>
                </c:pt>
                <c:pt idx="1">
                  <c:v>Aus Gov</c:v>
                </c:pt>
                <c:pt idx="2">
                  <c:v>SA</c:v>
                </c:pt>
                <c:pt idx="3">
                  <c:v>QLD</c:v>
                </c:pt>
                <c:pt idx="4">
                  <c:v>VIC</c:v>
                </c:pt>
                <c:pt idx="5">
                  <c:v>WA</c:v>
                </c:pt>
                <c:pt idx="6">
                  <c:v>TAS</c:v>
                </c:pt>
                <c:pt idx="7">
                  <c:v>ACT</c:v>
                </c:pt>
                <c:pt idx="8">
                  <c:v>NT</c:v>
                </c:pt>
                <c:pt idx="9">
                  <c:v>NSW</c:v>
                </c:pt>
                <c:pt idx="10">
                  <c:v>Aus total</c:v>
                </c:pt>
              </c:strCache>
            </c:strRef>
          </c:cat>
          <c:val>
            <c:numRef>
              <c:f>Mechanism!$F$34:$F$44</c:f>
              <c:numCache>
                <c:formatCode>0.0</c:formatCode>
                <c:ptCount val="11"/>
                <c:pt idx="0">
                  <c:v>42.1</c:v>
                </c:pt>
                <c:pt idx="1">
                  <c:v>42.5</c:v>
                </c:pt>
                <c:pt idx="2">
                  <c:v>44.1</c:v>
                </c:pt>
                <c:pt idx="3">
                  <c:v>40.5</c:v>
                </c:pt>
                <c:pt idx="4">
                  <c:v>39.300000000000004</c:v>
                </c:pt>
                <c:pt idx="5">
                  <c:v>39.4</c:v>
                </c:pt>
                <c:pt idx="6">
                  <c:v>38.1</c:v>
                </c:pt>
                <c:pt idx="7">
                  <c:v>31.4</c:v>
                </c:pt>
                <c:pt idx="8">
                  <c:v>28.999999999999996</c:v>
                </c:pt>
                <c:pt idx="9">
                  <c:v>33.300000000000004</c:v>
                </c:pt>
                <c:pt idx="10">
                  <c:v>37.5</c:v>
                </c:pt>
              </c:numCache>
            </c:numRef>
          </c:val>
          <c:extLst>
            <c:ext xmlns:c16="http://schemas.microsoft.com/office/drawing/2014/chart" uri="{C3380CC4-5D6E-409C-BE32-E72D297353CC}">
              <c16:uniqueId val="{00000004-640F-4573-ABAF-A9C0CF296C3B}"/>
            </c:ext>
          </c:extLst>
        </c:ser>
        <c:ser>
          <c:idx val="5"/>
          <c:order val="5"/>
          <c:tx>
            <c:strRef>
              <c:f>Mechanism!$G$33</c:f>
              <c:strCache>
                <c:ptCount val="1"/>
                <c:pt idx="0">
                  <c:v>2021-22p</c:v>
                </c:pt>
              </c:strCache>
            </c:strRef>
          </c:tx>
          <c:spPr>
            <a:solidFill>
              <a:srgbClr val="C00000"/>
            </a:solidFill>
            <a:ln>
              <a:solidFill>
                <a:sysClr val="windowText" lastClr="000000"/>
              </a:solidFill>
            </a:ln>
          </c:spPr>
          <c:invertIfNegative val="0"/>
          <c:cat>
            <c:strRef>
              <c:f>Mechanism!$A$34:$A$44</c:f>
              <c:strCache>
                <c:ptCount val="11"/>
                <c:pt idx="0">
                  <c:v>Seacare</c:v>
                </c:pt>
                <c:pt idx="1">
                  <c:v>Aus Gov</c:v>
                </c:pt>
                <c:pt idx="2">
                  <c:v>SA</c:v>
                </c:pt>
                <c:pt idx="3">
                  <c:v>QLD</c:v>
                </c:pt>
                <c:pt idx="4">
                  <c:v>VIC</c:v>
                </c:pt>
                <c:pt idx="5">
                  <c:v>WA</c:v>
                </c:pt>
                <c:pt idx="6">
                  <c:v>TAS</c:v>
                </c:pt>
                <c:pt idx="7">
                  <c:v>ACT</c:v>
                </c:pt>
                <c:pt idx="8">
                  <c:v>NT</c:v>
                </c:pt>
                <c:pt idx="9">
                  <c:v>NSW</c:v>
                </c:pt>
                <c:pt idx="10">
                  <c:v>Aus total</c:v>
                </c:pt>
              </c:strCache>
            </c:strRef>
          </c:cat>
          <c:val>
            <c:numRef>
              <c:f>Mechanism!$G$34:$G$44</c:f>
              <c:numCache>
                <c:formatCode>0.0</c:formatCode>
                <c:ptCount val="11"/>
                <c:pt idx="0">
                  <c:v>42</c:v>
                </c:pt>
                <c:pt idx="1">
                  <c:v>40.1</c:v>
                </c:pt>
                <c:pt idx="2">
                  <c:v>39.800000000000004</c:v>
                </c:pt>
                <c:pt idx="3">
                  <c:v>38.299999999999997</c:v>
                </c:pt>
                <c:pt idx="4">
                  <c:v>37.200000000000003</c:v>
                </c:pt>
                <c:pt idx="5">
                  <c:v>35.299999999999997</c:v>
                </c:pt>
                <c:pt idx="6">
                  <c:v>33.700000000000003</c:v>
                </c:pt>
                <c:pt idx="7">
                  <c:v>30.099999999999998</c:v>
                </c:pt>
                <c:pt idx="8">
                  <c:v>27.1</c:v>
                </c:pt>
                <c:pt idx="9">
                  <c:v>25.6</c:v>
                </c:pt>
                <c:pt idx="10">
                  <c:v>32.6</c:v>
                </c:pt>
              </c:numCache>
            </c:numRef>
          </c:val>
          <c:extLst>
            <c:ext xmlns:c16="http://schemas.microsoft.com/office/drawing/2014/chart" uri="{C3380CC4-5D6E-409C-BE32-E72D297353CC}">
              <c16:uniqueId val="{00000005-640F-4573-ABAF-A9C0CF296C3B}"/>
            </c:ext>
          </c:extLst>
        </c:ser>
        <c:dLbls>
          <c:showLegendKey val="0"/>
          <c:showVal val="0"/>
          <c:showCatName val="0"/>
          <c:showSerName val="0"/>
          <c:showPercent val="0"/>
          <c:showBubbleSize val="0"/>
        </c:dLbls>
        <c:gapWidth val="150"/>
        <c:axId val="254144512"/>
        <c:axId val="444052224"/>
      </c:barChart>
      <c:lineChart>
        <c:grouping val="standard"/>
        <c:varyColors val="0"/>
        <c:ser>
          <c:idx val="6"/>
          <c:order val="6"/>
          <c:tx>
            <c:strRef>
              <c:f>Mechanism!$H$33</c:f>
              <c:strCache>
                <c:ptCount val="1"/>
                <c:pt idx="0">
                  <c:v>2021-22p Aus</c:v>
                </c:pt>
              </c:strCache>
            </c:strRef>
          </c:tx>
          <c:spPr>
            <a:ln>
              <a:solidFill>
                <a:srgbClr val="C00000"/>
              </a:solidFill>
            </a:ln>
          </c:spPr>
          <c:marker>
            <c:symbol val="none"/>
          </c:marker>
          <c:cat>
            <c:strRef>
              <c:f>Mechanism!$A$34:$A$44</c:f>
              <c:strCache>
                <c:ptCount val="11"/>
                <c:pt idx="0">
                  <c:v>Seacare</c:v>
                </c:pt>
                <c:pt idx="1">
                  <c:v>Aus Gov</c:v>
                </c:pt>
                <c:pt idx="2">
                  <c:v>SA</c:v>
                </c:pt>
                <c:pt idx="3">
                  <c:v>QLD</c:v>
                </c:pt>
                <c:pt idx="4">
                  <c:v>VIC</c:v>
                </c:pt>
                <c:pt idx="5">
                  <c:v>WA</c:v>
                </c:pt>
                <c:pt idx="6">
                  <c:v>TAS</c:v>
                </c:pt>
                <c:pt idx="7">
                  <c:v>ACT</c:v>
                </c:pt>
                <c:pt idx="8">
                  <c:v>NT</c:v>
                </c:pt>
                <c:pt idx="9">
                  <c:v>NSW</c:v>
                </c:pt>
                <c:pt idx="10">
                  <c:v>Aus total</c:v>
                </c:pt>
              </c:strCache>
            </c:strRef>
          </c:cat>
          <c:val>
            <c:numRef>
              <c:f>Mechanism!$H$34:$H$44</c:f>
              <c:numCache>
                <c:formatCode>0.0</c:formatCode>
                <c:ptCount val="11"/>
                <c:pt idx="0">
                  <c:v>32.6</c:v>
                </c:pt>
                <c:pt idx="1">
                  <c:v>32.6</c:v>
                </c:pt>
                <c:pt idx="2">
                  <c:v>32.6</c:v>
                </c:pt>
                <c:pt idx="3">
                  <c:v>32.6</c:v>
                </c:pt>
                <c:pt idx="4">
                  <c:v>32.6</c:v>
                </c:pt>
                <c:pt idx="5">
                  <c:v>32.6</c:v>
                </c:pt>
                <c:pt idx="6">
                  <c:v>32.6</c:v>
                </c:pt>
                <c:pt idx="7">
                  <c:v>32.6</c:v>
                </c:pt>
                <c:pt idx="8">
                  <c:v>32.6</c:v>
                </c:pt>
                <c:pt idx="9">
                  <c:v>32.6</c:v>
                </c:pt>
              </c:numCache>
            </c:numRef>
          </c:val>
          <c:smooth val="0"/>
          <c:extLst>
            <c:ext xmlns:c16="http://schemas.microsoft.com/office/drawing/2014/chart" uri="{C3380CC4-5D6E-409C-BE32-E72D297353CC}">
              <c16:uniqueId val="{00000006-640F-4573-ABAF-A9C0CF296C3B}"/>
            </c:ext>
          </c:extLst>
        </c:ser>
        <c:dLbls>
          <c:showLegendKey val="0"/>
          <c:showVal val="0"/>
          <c:showCatName val="0"/>
          <c:showSerName val="0"/>
          <c:showPercent val="0"/>
          <c:showBubbleSize val="0"/>
        </c:dLbls>
        <c:marker val="1"/>
        <c:smooth val="0"/>
        <c:axId val="254144512"/>
        <c:axId val="444052224"/>
      </c:lineChart>
      <c:catAx>
        <c:axId val="254144512"/>
        <c:scaling>
          <c:orientation val="minMax"/>
        </c:scaling>
        <c:delete val="0"/>
        <c:axPos val="b"/>
        <c:numFmt formatCode="General" sourceLinked="0"/>
        <c:majorTickMark val="out"/>
        <c:minorTickMark val="none"/>
        <c:tickLblPos val="nextTo"/>
        <c:crossAx val="444052224"/>
        <c:crosses val="autoZero"/>
        <c:auto val="1"/>
        <c:lblAlgn val="ctr"/>
        <c:lblOffset val="100"/>
        <c:noMultiLvlLbl val="0"/>
      </c:catAx>
      <c:valAx>
        <c:axId val="444052224"/>
        <c:scaling>
          <c:orientation val="minMax"/>
          <c:max val="50"/>
        </c:scaling>
        <c:delete val="0"/>
        <c:axPos val="l"/>
        <c:majorGridlines/>
        <c:title>
          <c:tx>
            <c:strRef>
              <c:f>'\\PRODAPP.application.enet\STATS_DATA\Data and Analysis\Projects\CPM Project\CPM 24th Report - 2020-21\Data\Data - WHS Performance\[CPM 23 - Chp 1 Indicator 10 by Mechanism of Incident - Proportions.xlsx](a) body stressing'!$L$12</c:f>
              <c:strCache>
                <c:ptCount val="1"/>
                <c:pt idx="0">
                  <c:v>Proportion of Claims (%)</c:v>
                </c:pt>
              </c:strCache>
            </c:strRef>
          </c:tx>
          <c:layout>
            <c:manualLayout>
              <c:xMode val="edge"/>
              <c:yMode val="edge"/>
              <c:x val="7.3107195073506742E-2"/>
              <c:y val="0.14577094107386343"/>
            </c:manualLayout>
          </c:layout>
          <c:overlay val="0"/>
          <c:txPr>
            <a:bodyPr rot="-5400000" vert="horz"/>
            <a:lstStyle/>
            <a:p>
              <a:pPr>
                <a:defRPr b="0"/>
              </a:pPr>
              <a:endParaRPr lang="en-US"/>
            </a:p>
          </c:txPr>
        </c:title>
        <c:numFmt formatCode="0.0" sourceLinked="1"/>
        <c:majorTickMark val="out"/>
        <c:minorTickMark val="none"/>
        <c:tickLblPos val="nextTo"/>
        <c:crossAx val="254144512"/>
        <c:crosses val="autoZero"/>
        <c:crossBetween val="between"/>
      </c:valAx>
      <c:dTable>
        <c:showHorzBorder val="0"/>
        <c:showVertBorder val="0"/>
        <c:showOutline val="0"/>
        <c:showKeys val="1"/>
      </c:dTable>
      <c:spPr>
        <a:ln>
          <a:solidFill>
            <a:schemeClr val="bg1">
              <a:lumMod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Mechanism!$B$60</c:f>
              <c:strCache>
                <c:ptCount val="1"/>
                <c:pt idx="0">
                  <c:v>2016-17</c:v>
                </c:pt>
              </c:strCache>
            </c:strRef>
          </c:tx>
          <c:spPr>
            <a:solidFill>
              <a:sysClr val="window" lastClr="FFFFFF"/>
            </a:solidFill>
            <a:ln>
              <a:solidFill>
                <a:sysClr val="windowText" lastClr="000000"/>
              </a:solidFill>
            </a:ln>
          </c:spPr>
          <c:invertIfNegative val="0"/>
          <c:cat>
            <c:strRef>
              <c:f>Mechanism!$A$61:$A$71</c:f>
              <c:strCache>
                <c:ptCount val="11"/>
                <c:pt idx="0">
                  <c:v>WA</c:v>
                </c:pt>
                <c:pt idx="1">
                  <c:v>NT</c:v>
                </c:pt>
                <c:pt idx="2">
                  <c:v>Seacare</c:v>
                </c:pt>
                <c:pt idx="3">
                  <c:v>QLD</c:v>
                </c:pt>
                <c:pt idx="4">
                  <c:v>VIC</c:v>
                </c:pt>
                <c:pt idx="5">
                  <c:v>SA</c:v>
                </c:pt>
                <c:pt idx="6">
                  <c:v>ACT</c:v>
                </c:pt>
                <c:pt idx="7">
                  <c:v>TAS</c:v>
                </c:pt>
                <c:pt idx="8">
                  <c:v>Aus Gov</c:v>
                </c:pt>
                <c:pt idx="9">
                  <c:v>NSW</c:v>
                </c:pt>
                <c:pt idx="10">
                  <c:v>Aus total</c:v>
                </c:pt>
              </c:strCache>
            </c:strRef>
          </c:cat>
          <c:val>
            <c:numRef>
              <c:f>Mechanism!$B$61:$B$71</c:f>
              <c:numCache>
                <c:formatCode>0.0</c:formatCode>
                <c:ptCount val="11"/>
                <c:pt idx="0">
                  <c:v>26.3</c:v>
                </c:pt>
                <c:pt idx="1">
                  <c:v>26.5</c:v>
                </c:pt>
                <c:pt idx="2">
                  <c:v>25.7</c:v>
                </c:pt>
                <c:pt idx="3">
                  <c:v>22.1</c:v>
                </c:pt>
                <c:pt idx="4">
                  <c:v>23.799999999999997</c:v>
                </c:pt>
                <c:pt idx="5">
                  <c:v>21.3</c:v>
                </c:pt>
                <c:pt idx="6">
                  <c:v>23.5</c:v>
                </c:pt>
                <c:pt idx="7">
                  <c:v>19.2</c:v>
                </c:pt>
                <c:pt idx="8">
                  <c:v>23.1</c:v>
                </c:pt>
                <c:pt idx="9">
                  <c:v>23.7</c:v>
                </c:pt>
                <c:pt idx="10">
                  <c:v>23.3</c:v>
                </c:pt>
              </c:numCache>
            </c:numRef>
          </c:val>
          <c:extLst>
            <c:ext xmlns:c16="http://schemas.microsoft.com/office/drawing/2014/chart" uri="{C3380CC4-5D6E-409C-BE32-E72D297353CC}">
              <c16:uniqueId val="{00000000-31DD-42E0-9654-8D76DEA9BFBB}"/>
            </c:ext>
          </c:extLst>
        </c:ser>
        <c:ser>
          <c:idx val="1"/>
          <c:order val="1"/>
          <c:tx>
            <c:strRef>
              <c:f>Mechanism!$C$60</c:f>
              <c:strCache>
                <c:ptCount val="1"/>
                <c:pt idx="0">
                  <c:v>2017-18</c:v>
                </c:pt>
              </c:strCache>
            </c:strRef>
          </c:tx>
          <c:spPr>
            <a:solidFill>
              <a:srgbClr val="E7E6E6">
                <a:lumMod val="90000"/>
              </a:srgbClr>
            </a:solidFill>
            <a:ln>
              <a:solidFill>
                <a:sysClr val="windowText" lastClr="000000"/>
              </a:solidFill>
            </a:ln>
          </c:spPr>
          <c:invertIfNegative val="0"/>
          <c:cat>
            <c:strRef>
              <c:f>Mechanism!$A$61:$A$71</c:f>
              <c:strCache>
                <c:ptCount val="11"/>
                <c:pt idx="0">
                  <c:v>WA</c:v>
                </c:pt>
                <c:pt idx="1">
                  <c:v>NT</c:v>
                </c:pt>
                <c:pt idx="2">
                  <c:v>Seacare</c:v>
                </c:pt>
                <c:pt idx="3">
                  <c:v>QLD</c:v>
                </c:pt>
                <c:pt idx="4">
                  <c:v>VIC</c:v>
                </c:pt>
                <c:pt idx="5">
                  <c:v>SA</c:v>
                </c:pt>
                <c:pt idx="6">
                  <c:v>ACT</c:v>
                </c:pt>
                <c:pt idx="7">
                  <c:v>TAS</c:v>
                </c:pt>
                <c:pt idx="8">
                  <c:v>Aus Gov</c:v>
                </c:pt>
                <c:pt idx="9">
                  <c:v>NSW</c:v>
                </c:pt>
                <c:pt idx="10">
                  <c:v>Aus total</c:v>
                </c:pt>
              </c:strCache>
            </c:strRef>
          </c:cat>
          <c:val>
            <c:numRef>
              <c:f>Mechanism!$C$61:$C$71</c:f>
              <c:numCache>
                <c:formatCode>0.0</c:formatCode>
                <c:ptCount val="11"/>
                <c:pt idx="0">
                  <c:v>25.7</c:v>
                </c:pt>
                <c:pt idx="1">
                  <c:v>23.400000000000002</c:v>
                </c:pt>
                <c:pt idx="2">
                  <c:v>27.700000000000003</c:v>
                </c:pt>
                <c:pt idx="3">
                  <c:v>22.900000000000002</c:v>
                </c:pt>
                <c:pt idx="4">
                  <c:v>24.3</c:v>
                </c:pt>
                <c:pt idx="5">
                  <c:v>18.8</c:v>
                </c:pt>
                <c:pt idx="6">
                  <c:v>23</c:v>
                </c:pt>
                <c:pt idx="7">
                  <c:v>21.7</c:v>
                </c:pt>
                <c:pt idx="8">
                  <c:v>19</c:v>
                </c:pt>
                <c:pt idx="9">
                  <c:v>22.400000000000002</c:v>
                </c:pt>
                <c:pt idx="10">
                  <c:v>23</c:v>
                </c:pt>
              </c:numCache>
            </c:numRef>
          </c:val>
          <c:extLst>
            <c:ext xmlns:c16="http://schemas.microsoft.com/office/drawing/2014/chart" uri="{C3380CC4-5D6E-409C-BE32-E72D297353CC}">
              <c16:uniqueId val="{00000001-31DD-42E0-9654-8D76DEA9BFBB}"/>
            </c:ext>
          </c:extLst>
        </c:ser>
        <c:ser>
          <c:idx val="2"/>
          <c:order val="2"/>
          <c:tx>
            <c:strRef>
              <c:f>Mechanism!$D$60</c:f>
              <c:strCache>
                <c:ptCount val="1"/>
                <c:pt idx="0">
                  <c:v>2018-19</c:v>
                </c:pt>
              </c:strCache>
            </c:strRef>
          </c:tx>
          <c:spPr>
            <a:solidFill>
              <a:srgbClr val="E7E6E6">
                <a:lumMod val="75000"/>
              </a:srgbClr>
            </a:solidFill>
            <a:ln>
              <a:solidFill>
                <a:sysClr val="windowText" lastClr="000000"/>
              </a:solidFill>
            </a:ln>
          </c:spPr>
          <c:invertIfNegative val="0"/>
          <c:cat>
            <c:strRef>
              <c:f>Mechanism!$A$61:$A$71</c:f>
              <c:strCache>
                <c:ptCount val="11"/>
                <c:pt idx="0">
                  <c:v>WA</c:v>
                </c:pt>
                <c:pt idx="1">
                  <c:v>NT</c:v>
                </c:pt>
                <c:pt idx="2">
                  <c:v>Seacare</c:v>
                </c:pt>
                <c:pt idx="3">
                  <c:v>QLD</c:v>
                </c:pt>
                <c:pt idx="4">
                  <c:v>VIC</c:v>
                </c:pt>
                <c:pt idx="5">
                  <c:v>SA</c:v>
                </c:pt>
                <c:pt idx="6">
                  <c:v>ACT</c:v>
                </c:pt>
                <c:pt idx="7">
                  <c:v>TAS</c:v>
                </c:pt>
                <c:pt idx="8">
                  <c:v>Aus Gov</c:v>
                </c:pt>
                <c:pt idx="9">
                  <c:v>NSW</c:v>
                </c:pt>
                <c:pt idx="10">
                  <c:v>Aus total</c:v>
                </c:pt>
              </c:strCache>
            </c:strRef>
          </c:cat>
          <c:val>
            <c:numRef>
              <c:f>Mechanism!$D$61:$D$71</c:f>
              <c:numCache>
                <c:formatCode>0.0</c:formatCode>
                <c:ptCount val="11"/>
                <c:pt idx="0">
                  <c:v>25</c:v>
                </c:pt>
                <c:pt idx="1">
                  <c:v>23</c:v>
                </c:pt>
                <c:pt idx="2">
                  <c:v>27.800000000000004</c:v>
                </c:pt>
                <c:pt idx="3">
                  <c:v>21.7</c:v>
                </c:pt>
                <c:pt idx="4">
                  <c:v>23.799999999999997</c:v>
                </c:pt>
                <c:pt idx="5">
                  <c:v>19.3</c:v>
                </c:pt>
                <c:pt idx="6">
                  <c:v>23</c:v>
                </c:pt>
                <c:pt idx="7">
                  <c:v>20.399999999999999</c:v>
                </c:pt>
                <c:pt idx="8">
                  <c:v>21.3</c:v>
                </c:pt>
                <c:pt idx="9">
                  <c:v>22.400000000000002</c:v>
                </c:pt>
                <c:pt idx="10">
                  <c:v>22.5</c:v>
                </c:pt>
              </c:numCache>
            </c:numRef>
          </c:val>
          <c:extLst>
            <c:ext xmlns:c16="http://schemas.microsoft.com/office/drawing/2014/chart" uri="{C3380CC4-5D6E-409C-BE32-E72D297353CC}">
              <c16:uniqueId val="{00000002-31DD-42E0-9654-8D76DEA9BFBB}"/>
            </c:ext>
          </c:extLst>
        </c:ser>
        <c:ser>
          <c:idx val="3"/>
          <c:order val="3"/>
          <c:tx>
            <c:strRef>
              <c:f>Mechanism!$E$60</c:f>
              <c:strCache>
                <c:ptCount val="1"/>
                <c:pt idx="0">
                  <c:v>2019-20</c:v>
                </c:pt>
              </c:strCache>
            </c:strRef>
          </c:tx>
          <c:spPr>
            <a:solidFill>
              <a:srgbClr val="E7E6E6">
                <a:lumMod val="50000"/>
              </a:srgbClr>
            </a:solidFill>
            <a:ln>
              <a:solidFill>
                <a:sysClr val="windowText" lastClr="000000"/>
              </a:solidFill>
            </a:ln>
          </c:spPr>
          <c:invertIfNegative val="0"/>
          <c:cat>
            <c:strRef>
              <c:f>Mechanism!$A$61:$A$71</c:f>
              <c:strCache>
                <c:ptCount val="11"/>
                <c:pt idx="0">
                  <c:v>WA</c:v>
                </c:pt>
                <c:pt idx="1">
                  <c:v>NT</c:v>
                </c:pt>
                <c:pt idx="2">
                  <c:v>Seacare</c:v>
                </c:pt>
                <c:pt idx="3">
                  <c:v>QLD</c:v>
                </c:pt>
                <c:pt idx="4">
                  <c:v>VIC</c:v>
                </c:pt>
                <c:pt idx="5">
                  <c:v>SA</c:v>
                </c:pt>
                <c:pt idx="6">
                  <c:v>ACT</c:v>
                </c:pt>
                <c:pt idx="7">
                  <c:v>TAS</c:v>
                </c:pt>
                <c:pt idx="8">
                  <c:v>Aus Gov</c:v>
                </c:pt>
                <c:pt idx="9">
                  <c:v>NSW</c:v>
                </c:pt>
                <c:pt idx="10">
                  <c:v>Aus total</c:v>
                </c:pt>
              </c:strCache>
            </c:strRef>
          </c:cat>
          <c:val>
            <c:numRef>
              <c:f>Mechanism!$E$61:$E$71</c:f>
              <c:numCache>
                <c:formatCode>0.0</c:formatCode>
                <c:ptCount val="11"/>
                <c:pt idx="0">
                  <c:v>26.400000000000002</c:v>
                </c:pt>
                <c:pt idx="1">
                  <c:v>24.5</c:v>
                </c:pt>
                <c:pt idx="2">
                  <c:v>18.899999999999999</c:v>
                </c:pt>
                <c:pt idx="3">
                  <c:v>22.5</c:v>
                </c:pt>
                <c:pt idx="4">
                  <c:v>23.400000000000002</c:v>
                </c:pt>
                <c:pt idx="5">
                  <c:v>21.6</c:v>
                </c:pt>
                <c:pt idx="6">
                  <c:v>23</c:v>
                </c:pt>
                <c:pt idx="7">
                  <c:v>20.599999999999998</c:v>
                </c:pt>
                <c:pt idx="8">
                  <c:v>20.100000000000001</c:v>
                </c:pt>
                <c:pt idx="9">
                  <c:v>22.6</c:v>
                </c:pt>
                <c:pt idx="10">
                  <c:v>23</c:v>
                </c:pt>
              </c:numCache>
            </c:numRef>
          </c:val>
          <c:extLst>
            <c:ext xmlns:c16="http://schemas.microsoft.com/office/drawing/2014/chart" uri="{C3380CC4-5D6E-409C-BE32-E72D297353CC}">
              <c16:uniqueId val="{00000003-31DD-42E0-9654-8D76DEA9BFBB}"/>
            </c:ext>
          </c:extLst>
        </c:ser>
        <c:ser>
          <c:idx val="4"/>
          <c:order val="4"/>
          <c:tx>
            <c:strRef>
              <c:f>Mechanism!$F$60</c:f>
              <c:strCache>
                <c:ptCount val="1"/>
                <c:pt idx="0">
                  <c:v>2020-21</c:v>
                </c:pt>
              </c:strCache>
            </c:strRef>
          </c:tx>
          <c:spPr>
            <a:solidFill>
              <a:srgbClr val="E7E6E6">
                <a:lumMod val="25000"/>
              </a:srgbClr>
            </a:solidFill>
            <a:ln>
              <a:solidFill>
                <a:sysClr val="windowText" lastClr="000000"/>
              </a:solidFill>
            </a:ln>
          </c:spPr>
          <c:invertIfNegative val="0"/>
          <c:cat>
            <c:strRef>
              <c:f>Mechanism!$A$61:$A$71</c:f>
              <c:strCache>
                <c:ptCount val="11"/>
                <c:pt idx="0">
                  <c:v>WA</c:v>
                </c:pt>
                <c:pt idx="1">
                  <c:v>NT</c:v>
                </c:pt>
                <c:pt idx="2">
                  <c:v>Seacare</c:v>
                </c:pt>
                <c:pt idx="3">
                  <c:v>QLD</c:v>
                </c:pt>
                <c:pt idx="4">
                  <c:v>VIC</c:v>
                </c:pt>
                <c:pt idx="5">
                  <c:v>SA</c:v>
                </c:pt>
                <c:pt idx="6">
                  <c:v>ACT</c:v>
                </c:pt>
                <c:pt idx="7">
                  <c:v>TAS</c:v>
                </c:pt>
                <c:pt idx="8">
                  <c:v>Aus Gov</c:v>
                </c:pt>
                <c:pt idx="9">
                  <c:v>NSW</c:v>
                </c:pt>
                <c:pt idx="10">
                  <c:v>Aus total</c:v>
                </c:pt>
              </c:strCache>
            </c:strRef>
          </c:cat>
          <c:val>
            <c:numRef>
              <c:f>Mechanism!$F$61:$F$71</c:f>
              <c:numCache>
                <c:formatCode>0.0</c:formatCode>
                <c:ptCount val="11"/>
                <c:pt idx="0">
                  <c:v>26.5</c:v>
                </c:pt>
                <c:pt idx="1">
                  <c:v>23.799999999999997</c:v>
                </c:pt>
                <c:pt idx="2">
                  <c:v>23.7</c:v>
                </c:pt>
                <c:pt idx="3">
                  <c:v>22.8</c:v>
                </c:pt>
                <c:pt idx="4">
                  <c:v>22.5</c:v>
                </c:pt>
                <c:pt idx="5">
                  <c:v>20.7</c:v>
                </c:pt>
                <c:pt idx="6">
                  <c:v>25.900000000000002</c:v>
                </c:pt>
                <c:pt idx="7">
                  <c:v>21.8</c:v>
                </c:pt>
                <c:pt idx="8">
                  <c:v>20.7</c:v>
                </c:pt>
                <c:pt idx="9">
                  <c:v>22.7</c:v>
                </c:pt>
                <c:pt idx="10">
                  <c:v>23</c:v>
                </c:pt>
              </c:numCache>
            </c:numRef>
          </c:val>
          <c:extLst>
            <c:ext xmlns:c16="http://schemas.microsoft.com/office/drawing/2014/chart" uri="{C3380CC4-5D6E-409C-BE32-E72D297353CC}">
              <c16:uniqueId val="{00000004-31DD-42E0-9654-8D76DEA9BFBB}"/>
            </c:ext>
          </c:extLst>
        </c:ser>
        <c:ser>
          <c:idx val="5"/>
          <c:order val="5"/>
          <c:tx>
            <c:strRef>
              <c:f>Mechanism!$G$60</c:f>
              <c:strCache>
                <c:ptCount val="1"/>
                <c:pt idx="0">
                  <c:v>2021-22p</c:v>
                </c:pt>
              </c:strCache>
            </c:strRef>
          </c:tx>
          <c:spPr>
            <a:solidFill>
              <a:srgbClr val="C00000"/>
            </a:solidFill>
            <a:ln>
              <a:solidFill>
                <a:sysClr val="windowText" lastClr="000000"/>
              </a:solidFill>
            </a:ln>
          </c:spPr>
          <c:invertIfNegative val="0"/>
          <c:cat>
            <c:strRef>
              <c:f>Mechanism!$A$61:$A$71</c:f>
              <c:strCache>
                <c:ptCount val="11"/>
                <c:pt idx="0">
                  <c:v>WA</c:v>
                </c:pt>
                <c:pt idx="1">
                  <c:v>NT</c:v>
                </c:pt>
                <c:pt idx="2">
                  <c:v>Seacare</c:v>
                </c:pt>
                <c:pt idx="3">
                  <c:v>QLD</c:v>
                </c:pt>
                <c:pt idx="4">
                  <c:v>VIC</c:v>
                </c:pt>
                <c:pt idx="5">
                  <c:v>SA</c:v>
                </c:pt>
                <c:pt idx="6">
                  <c:v>ACT</c:v>
                </c:pt>
                <c:pt idx="7">
                  <c:v>TAS</c:v>
                </c:pt>
                <c:pt idx="8">
                  <c:v>Aus Gov</c:v>
                </c:pt>
                <c:pt idx="9">
                  <c:v>NSW</c:v>
                </c:pt>
                <c:pt idx="10">
                  <c:v>Aus total</c:v>
                </c:pt>
              </c:strCache>
            </c:strRef>
          </c:cat>
          <c:val>
            <c:numRef>
              <c:f>Mechanism!$G$61:$G$71</c:f>
              <c:numCache>
                <c:formatCode>0.0</c:formatCode>
                <c:ptCount val="11"/>
                <c:pt idx="0">
                  <c:v>27.6</c:v>
                </c:pt>
                <c:pt idx="1">
                  <c:v>24</c:v>
                </c:pt>
                <c:pt idx="2">
                  <c:v>23.5</c:v>
                </c:pt>
                <c:pt idx="3">
                  <c:v>23.400000000000002</c:v>
                </c:pt>
                <c:pt idx="4">
                  <c:v>22.900000000000002</c:v>
                </c:pt>
                <c:pt idx="5">
                  <c:v>22.900000000000002</c:v>
                </c:pt>
                <c:pt idx="6">
                  <c:v>22</c:v>
                </c:pt>
                <c:pt idx="7">
                  <c:v>21.2</c:v>
                </c:pt>
                <c:pt idx="8">
                  <c:v>19.8</c:v>
                </c:pt>
                <c:pt idx="9">
                  <c:v>19.600000000000001</c:v>
                </c:pt>
                <c:pt idx="10">
                  <c:v>22</c:v>
                </c:pt>
              </c:numCache>
            </c:numRef>
          </c:val>
          <c:extLst>
            <c:ext xmlns:c16="http://schemas.microsoft.com/office/drawing/2014/chart" uri="{C3380CC4-5D6E-409C-BE32-E72D297353CC}">
              <c16:uniqueId val="{00000005-31DD-42E0-9654-8D76DEA9BFBB}"/>
            </c:ext>
          </c:extLst>
        </c:ser>
        <c:dLbls>
          <c:showLegendKey val="0"/>
          <c:showVal val="0"/>
          <c:showCatName val="0"/>
          <c:showSerName val="0"/>
          <c:showPercent val="0"/>
          <c:showBubbleSize val="0"/>
        </c:dLbls>
        <c:gapWidth val="150"/>
        <c:axId val="444105088"/>
        <c:axId val="444106624"/>
      </c:barChart>
      <c:lineChart>
        <c:grouping val="standard"/>
        <c:varyColors val="0"/>
        <c:ser>
          <c:idx val="6"/>
          <c:order val="6"/>
          <c:tx>
            <c:strRef>
              <c:f>Mechanism!$H$60</c:f>
              <c:strCache>
                <c:ptCount val="1"/>
                <c:pt idx="0">
                  <c:v>2021-22p Aus</c:v>
                </c:pt>
              </c:strCache>
            </c:strRef>
          </c:tx>
          <c:spPr>
            <a:ln>
              <a:solidFill>
                <a:srgbClr val="C00000"/>
              </a:solidFill>
            </a:ln>
          </c:spPr>
          <c:marker>
            <c:symbol val="none"/>
          </c:marker>
          <c:cat>
            <c:strRef>
              <c:f>Mechanism!$A$61:$A$71</c:f>
              <c:strCache>
                <c:ptCount val="11"/>
                <c:pt idx="0">
                  <c:v>WA</c:v>
                </c:pt>
                <c:pt idx="1">
                  <c:v>NT</c:v>
                </c:pt>
                <c:pt idx="2">
                  <c:v>Seacare</c:v>
                </c:pt>
                <c:pt idx="3">
                  <c:v>QLD</c:v>
                </c:pt>
                <c:pt idx="4">
                  <c:v>VIC</c:v>
                </c:pt>
                <c:pt idx="5">
                  <c:v>SA</c:v>
                </c:pt>
                <c:pt idx="6">
                  <c:v>ACT</c:v>
                </c:pt>
                <c:pt idx="7">
                  <c:v>TAS</c:v>
                </c:pt>
                <c:pt idx="8">
                  <c:v>Aus Gov</c:v>
                </c:pt>
                <c:pt idx="9">
                  <c:v>NSW</c:v>
                </c:pt>
                <c:pt idx="10">
                  <c:v>Aus total</c:v>
                </c:pt>
              </c:strCache>
            </c:strRef>
          </c:cat>
          <c:val>
            <c:numRef>
              <c:f>Mechanism!$H$61:$H$71</c:f>
              <c:numCache>
                <c:formatCode>0.0</c:formatCode>
                <c:ptCount val="11"/>
                <c:pt idx="0">
                  <c:v>22.0232317855913</c:v>
                </c:pt>
                <c:pt idx="1">
                  <c:v>22.0232317855913</c:v>
                </c:pt>
                <c:pt idx="2">
                  <c:v>22.0232317855913</c:v>
                </c:pt>
                <c:pt idx="3">
                  <c:v>22.0232317855913</c:v>
                </c:pt>
                <c:pt idx="4">
                  <c:v>22.0232317855913</c:v>
                </c:pt>
                <c:pt idx="5">
                  <c:v>22.0232317855913</c:v>
                </c:pt>
                <c:pt idx="6">
                  <c:v>22.0232317855913</c:v>
                </c:pt>
                <c:pt idx="7">
                  <c:v>22.0232317855913</c:v>
                </c:pt>
                <c:pt idx="8">
                  <c:v>22.0232317855913</c:v>
                </c:pt>
                <c:pt idx="9">
                  <c:v>22.0232317855913</c:v>
                </c:pt>
              </c:numCache>
            </c:numRef>
          </c:val>
          <c:smooth val="0"/>
          <c:extLst>
            <c:ext xmlns:c16="http://schemas.microsoft.com/office/drawing/2014/chart" uri="{C3380CC4-5D6E-409C-BE32-E72D297353CC}">
              <c16:uniqueId val="{00000006-31DD-42E0-9654-8D76DEA9BFBB}"/>
            </c:ext>
          </c:extLst>
        </c:ser>
        <c:dLbls>
          <c:showLegendKey val="0"/>
          <c:showVal val="0"/>
          <c:showCatName val="0"/>
          <c:showSerName val="0"/>
          <c:showPercent val="0"/>
          <c:showBubbleSize val="0"/>
        </c:dLbls>
        <c:marker val="1"/>
        <c:smooth val="0"/>
        <c:axId val="444105088"/>
        <c:axId val="444106624"/>
      </c:lineChart>
      <c:catAx>
        <c:axId val="444105088"/>
        <c:scaling>
          <c:orientation val="minMax"/>
        </c:scaling>
        <c:delete val="0"/>
        <c:axPos val="b"/>
        <c:numFmt formatCode="General" sourceLinked="0"/>
        <c:majorTickMark val="out"/>
        <c:minorTickMark val="none"/>
        <c:tickLblPos val="nextTo"/>
        <c:crossAx val="444106624"/>
        <c:crosses val="autoZero"/>
        <c:auto val="1"/>
        <c:lblAlgn val="ctr"/>
        <c:lblOffset val="100"/>
        <c:noMultiLvlLbl val="0"/>
      </c:catAx>
      <c:valAx>
        <c:axId val="444106624"/>
        <c:scaling>
          <c:orientation val="minMax"/>
          <c:max val="35"/>
        </c:scaling>
        <c:delete val="0"/>
        <c:axPos val="l"/>
        <c:majorGridlines/>
        <c:title>
          <c:tx>
            <c:strRef>
              <c:f>'[3](b) Falls, Trips'!$L$12</c:f>
              <c:strCache>
                <c:ptCount val="1"/>
                <c:pt idx="0">
                  <c:v>Proportion of Claims (%)</c:v>
                </c:pt>
              </c:strCache>
            </c:strRef>
          </c:tx>
          <c:layout>
            <c:manualLayout>
              <c:xMode val="edge"/>
              <c:yMode val="edge"/>
              <c:x val="8.8081701410823332E-2"/>
              <c:y val="7.3707603818598991E-2"/>
            </c:manualLayout>
          </c:layout>
          <c:overlay val="0"/>
          <c:txPr>
            <a:bodyPr rot="-5400000" vert="horz"/>
            <a:lstStyle/>
            <a:p>
              <a:pPr>
                <a:defRPr b="0"/>
              </a:pPr>
              <a:endParaRPr lang="en-US"/>
            </a:p>
          </c:txPr>
        </c:title>
        <c:numFmt formatCode="0.0" sourceLinked="1"/>
        <c:majorTickMark val="out"/>
        <c:minorTickMark val="none"/>
        <c:tickLblPos val="nextTo"/>
        <c:crossAx val="444105088"/>
        <c:crosses val="autoZero"/>
        <c:crossBetween val="between"/>
      </c:valAx>
      <c:dTable>
        <c:showHorzBorder val="0"/>
        <c:showVertBorder val="0"/>
        <c:showOutline val="0"/>
        <c:showKeys val="1"/>
      </c:dTable>
      <c:spPr>
        <a:ln>
          <a:solidFill>
            <a:schemeClr val="bg1">
              <a:lumMod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Mechanism!$B$87</c:f>
              <c:strCache>
                <c:ptCount val="1"/>
                <c:pt idx="0">
                  <c:v>2016-17</c:v>
                </c:pt>
              </c:strCache>
            </c:strRef>
          </c:tx>
          <c:spPr>
            <a:solidFill>
              <a:sysClr val="window" lastClr="FFFFFF"/>
            </a:solidFill>
            <a:ln>
              <a:solidFill>
                <a:sysClr val="windowText" lastClr="000000"/>
              </a:solidFill>
            </a:ln>
          </c:spPr>
          <c:invertIfNegative val="0"/>
          <c:cat>
            <c:strRef>
              <c:f>Mechanism!$A$88:$A$98</c:f>
              <c:strCache>
                <c:ptCount val="11"/>
                <c:pt idx="0">
                  <c:v>NT</c:v>
                </c:pt>
                <c:pt idx="1">
                  <c:v>WA</c:v>
                </c:pt>
                <c:pt idx="2">
                  <c:v>TAS</c:v>
                </c:pt>
                <c:pt idx="3">
                  <c:v>QLD</c:v>
                </c:pt>
                <c:pt idx="4">
                  <c:v>VIC</c:v>
                </c:pt>
                <c:pt idx="5">
                  <c:v>SA</c:v>
                </c:pt>
                <c:pt idx="6">
                  <c:v>ACT</c:v>
                </c:pt>
                <c:pt idx="7">
                  <c:v>NSW</c:v>
                </c:pt>
                <c:pt idx="8">
                  <c:v>Aus Gov</c:v>
                </c:pt>
                <c:pt idx="9">
                  <c:v>Seacare</c:v>
                </c:pt>
                <c:pt idx="10">
                  <c:v>Aus total</c:v>
                </c:pt>
              </c:strCache>
            </c:strRef>
          </c:cat>
          <c:val>
            <c:numRef>
              <c:f>Mechanism!$B$88:$B$98</c:f>
              <c:numCache>
                <c:formatCode>0.0</c:formatCode>
                <c:ptCount val="11"/>
                <c:pt idx="0">
                  <c:v>21.5</c:v>
                </c:pt>
                <c:pt idx="1">
                  <c:v>18.5</c:v>
                </c:pt>
                <c:pt idx="2">
                  <c:v>15.9</c:v>
                </c:pt>
                <c:pt idx="3">
                  <c:v>13.8</c:v>
                </c:pt>
                <c:pt idx="4">
                  <c:v>16.100000000000001</c:v>
                </c:pt>
                <c:pt idx="5">
                  <c:v>11.799999999999999</c:v>
                </c:pt>
                <c:pt idx="6">
                  <c:v>13.200000000000001</c:v>
                </c:pt>
                <c:pt idx="7">
                  <c:v>14.799999999999999</c:v>
                </c:pt>
                <c:pt idx="8">
                  <c:v>8.3000000000000007</c:v>
                </c:pt>
                <c:pt idx="9">
                  <c:v>14.299999999999999</c:v>
                </c:pt>
                <c:pt idx="10">
                  <c:v>15</c:v>
                </c:pt>
              </c:numCache>
            </c:numRef>
          </c:val>
          <c:extLst>
            <c:ext xmlns:c16="http://schemas.microsoft.com/office/drawing/2014/chart" uri="{C3380CC4-5D6E-409C-BE32-E72D297353CC}">
              <c16:uniqueId val="{00000000-5104-4DE6-B6E3-0007911BFECE}"/>
            </c:ext>
          </c:extLst>
        </c:ser>
        <c:ser>
          <c:idx val="1"/>
          <c:order val="1"/>
          <c:tx>
            <c:strRef>
              <c:f>Mechanism!$C$87</c:f>
              <c:strCache>
                <c:ptCount val="1"/>
                <c:pt idx="0">
                  <c:v>2017-18</c:v>
                </c:pt>
              </c:strCache>
            </c:strRef>
          </c:tx>
          <c:spPr>
            <a:solidFill>
              <a:srgbClr val="E7E6E6">
                <a:lumMod val="90000"/>
              </a:srgbClr>
            </a:solidFill>
            <a:ln>
              <a:solidFill>
                <a:sysClr val="windowText" lastClr="000000"/>
              </a:solidFill>
            </a:ln>
          </c:spPr>
          <c:invertIfNegative val="0"/>
          <c:cat>
            <c:strRef>
              <c:f>Mechanism!$A$88:$A$98</c:f>
              <c:strCache>
                <c:ptCount val="11"/>
                <c:pt idx="0">
                  <c:v>NT</c:v>
                </c:pt>
                <c:pt idx="1">
                  <c:v>WA</c:v>
                </c:pt>
                <c:pt idx="2">
                  <c:v>TAS</c:v>
                </c:pt>
                <c:pt idx="3">
                  <c:v>QLD</c:v>
                </c:pt>
                <c:pt idx="4">
                  <c:v>VIC</c:v>
                </c:pt>
                <c:pt idx="5">
                  <c:v>SA</c:v>
                </c:pt>
                <c:pt idx="6">
                  <c:v>ACT</c:v>
                </c:pt>
                <c:pt idx="7">
                  <c:v>NSW</c:v>
                </c:pt>
                <c:pt idx="8">
                  <c:v>Aus Gov</c:v>
                </c:pt>
                <c:pt idx="9">
                  <c:v>Seacare</c:v>
                </c:pt>
                <c:pt idx="10">
                  <c:v>Aus total</c:v>
                </c:pt>
              </c:strCache>
            </c:strRef>
          </c:cat>
          <c:val>
            <c:numRef>
              <c:f>Mechanism!$C$88:$C$98</c:f>
              <c:numCache>
                <c:formatCode>0.0</c:formatCode>
                <c:ptCount val="11"/>
                <c:pt idx="0">
                  <c:v>23.7</c:v>
                </c:pt>
                <c:pt idx="1">
                  <c:v>19.900000000000002</c:v>
                </c:pt>
                <c:pt idx="2">
                  <c:v>16.7</c:v>
                </c:pt>
                <c:pt idx="3">
                  <c:v>14.899999999999999</c:v>
                </c:pt>
                <c:pt idx="4">
                  <c:v>16.3</c:v>
                </c:pt>
                <c:pt idx="5">
                  <c:v>11.5</c:v>
                </c:pt>
                <c:pt idx="6">
                  <c:v>17.7</c:v>
                </c:pt>
                <c:pt idx="7">
                  <c:v>14.099999999999998</c:v>
                </c:pt>
                <c:pt idx="8">
                  <c:v>7.6</c:v>
                </c:pt>
                <c:pt idx="9">
                  <c:v>8.5</c:v>
                </c:pt>
                <c:pt idx="10">
                  <c:v>15.299999999999999</c:v>
                </c:pt>
              </c:numCache>
            </c:numRef>
          </c:val>
          <c:extLst>
            <c:ext xmlns:c16="http://schemas.microsoft.com/office/drawing/2014/chart" uri="{C3380CC4-5D6E-409C-BE32-E72D297353CC}">
              <c16:uniqueId val="{00000001-5104-4DE6-B6E3-0007911BFECE}"/>
            </c:ext>
          </c:extLst>
        </c:ser>
        <c:ser>
          <c:idx val="2"/>
          <c:order val="2"/>
          <c:tx>
            <c:strRef>
              <c:f>Mechanism!$D$87</c:f>
              <c:strCache>
                <c:ptCount val="1"/>
                <c:pt idx="0">
                  <c:v>2018-19</c:v>
                </c:pt>
              </c:strCache>
            </c:strRef>
          </c:tx>
          <c:spPr>
            <a:solidFill>
              <a:srgbClr val="E7E6E6">
                <a:lumMod val="75000"/>
              </a:srgbClr>
            </a:solidFill>
            <a:ln>
              <a:solidFill>
                <a:sysClr val="windowText" lastClr="000000"/>
              </a:solidFill>
            </a:ln>
          </c:spPr>
          <c:invertIfNegative val="0"/>
          <c:cat>
            <c:strRef>
              <c:f>Mechanism!$A$88:$A$98</c:f>
              <c:strCache>
                <c:ptCount val="11"/>
                <c:pt idx="0">
                  <c:v>NT</c:v>
                </c:pt>
                <c:pt idx="1">
                  <c:v>WA</c:v>
                </c:pt>
                <c:pt idx="2">
                  <c:v>TAS</c:v>
                </c:pt>
                <c:pt idx="3">
                  <c:v>QLD</c:v>
                </c:pt>
                <c:pt idx="4">
                  <c:v>VIC</c:v>
                </c:pt>
                <c:pt idx="5">
                  <c:v>SA</c:v>
                </c:pt>
                <c:pt idx="6">
                  <c:v>ACT</c:v>
                </c:pt>
                <c:pt idx="7">
                  <c:v>NSW</c:v>
                </c:pt>
                <c:pt idx="8">
                  <c:v>Aus Gov</c:v>
                </c:pt>
                <c:pt idx="9">
                  <c:v>Seacare</c:v>
                </c:pt>
                <c:pt idx="10">
                  <c:v>Aus total</c:v>
                </c:pt>
              </c:strCache>
            </c:strRef>
          </c:cat>
          <c:val>
            <c:numRef>
              <c:f>Mechanism!$D$88:$D$98</c:f>
              <c:numCache>
                <c:formatCode>0.0</c:formatCode>
                <c:ptCount val="11"/>
                <c:pt idx="0">
                  <c:v>24.9</c:v>
                </c:pt>
                <c:pt idx="1">
                  <c:v>20.100000000000001</c:v>
                </c:pt>
                <c:pt idx="2">
                  <c:v>16.400000000000002</c:v>
                </c:pt>
                <c:pt idx="3">
                  <c:v>15.1</c:v>
                </c:pt>
                <c:pt idx="4">
                  <c:v>16.100000000000001</c:v>
                </c:pt>
                <c:pt idx="5">
                  <c:v>13.600000000000001</c:v>
                </c:pt>
                <c:pt idx="6">
                  <c:v>14.499999999999998</c:v>
                </c:pt>
                <c:pt idx="7">
                  <c:v>14.499999999999998</c:v>
                </c:pt>
                <c:pt idx="8">
                  <c:v>7.9</c:v>
                </c:pt>
                <c:pt idx="9">
                  <c:v>12.5</c:v>
                </c:pt>
                <c:pt idx="10">
                  <c:v>15.5</c:v>
                </c:pt>
              </c:numCache>
            </c:numRef>
          </c:val>
          <c:extLst>
            <c:ext xmlns:c16="http://schemas.microsoft.com/office/drawing/2014/chart" uri="{C3380CC4-5D6E-409C-BE32-E72D297353CC}">
              <c16:uniqueId val="{00000002-5104-4DE6-B6E3-0007911BFECE}"/>
            </c:ext>
          </c:extLst>
        </c:ser>
        <c:ser>
          <c:idx val="3"/>
          <c:order val="3"/>
          <c:tx>
            <c:strRef>
              <c:f>Mechanism!$E$87</c:f>
              <c:strCache>
                <c:ptCount val="1"/>
                <c:pt idx="0">
                  <c:v>2019-20</c:v>
                </c:pt>
              </c:strCache>
            </c:strRef>
          </c:tx>
          <c:spPr>
            <a:solidFill>
              <a:srgbClr val="E7E6E6">
                <a:lumMod val="50000"/>
              </a:srgbClr>
            </a:solidFill>
            <a:ln>
              <a:solidFill>
                <a:sysClr val="windowText" lastClr="000000"/>
              </a:solidFill>
            </a:ln>
          </c:spPr>
          <c:invertIfNegative val="0"/>
          <c:cat>
            <c:strRef>
              <c:f>Mechanism!$A$88:$A$98</c:f>
              <c:strCache>
                <c:ptCount val="11"/>
                <c:pt idx="0">
                  <c:v>NT</c:v>
                </c:pt>
                <c:pt idx="1">
                  <c:v>WA</c:v>
                </c:pt>
                <c:pt idx="2">
                  <c:v>TAS</c:v>
                </c:pt>
                <c:pt idx="3">
                  <c:v>QLD</c:v>
                </c:pt>
                <c:pt idx="4">
                  <c:v>VIC</c:v>
                </c:pt>
                <c:pt idx="5">
                  <c:v>SA</c:v>
                </c:pt>
                <c:pt idx="6">
                  <c:v>ACT</c:v>
                </c:pt>
                <c:pt idx="7">
                  <c:v>NSW</c:v>
                </c:pt>
                <c:pt idx="8">
                  <c:v>Aus Gov</c:v>
                </c:pt>
                <c:pt idx="9">
                  <c:v>Seacare</c:v>
                </c:pt>
                <c:pt idx="10">
                  <c:v>Aus total</c:v>
                </c:pt>
              </c:strCache>
            </c:strRef>
          </c:cat>
          <c:val>
            <c:numRef>
              <c:f>Mechanism!$E$88:$E$98</c:f>
              <c:numCache>
                <c:formatCode>0.0</c:formatCode>
                <c:ptCount val="11"/>
                <c:pt idx="0">
                  <c:v>24.6</c:v>
                </c:pt>
                <c:pt idx="1">
                  <c:v>19.8</c:v>
                </c:pt>
                <c:pt idx="2">
                  <c:v>17.299999999999997</c:v>
                </c:pt>
                <c:pt idx="3">
                  <c:v>15.7</c:v>
                </c:pt>
                <c:pt idx="4">
                  <c:v>16</c:v>
                </c:pt>
                <c:pt idx="5">
                  <c:v>13.3</c:v>
                </c:pt>
                <c:pt idx="6">
                  <c:v>14.6</c:v>
                </c:pt>
                <c:pt idx="7">
                  <c:v>14.499999999999998</c:v>
                </c:pt>
                <c:pt idx="8">
                  <c:v>9.9</c:v>
                </c:pt>
                <c:pt idx="9">
                  <c:v>13.3</c:v>
                </c:pt>
                <c:pt idx="10">
                  <c:v>15.6</c:v>
                </c:pt>
              </c:numCache>
            </c:numRef>
          </c:val>
          <c:extLst>
            <c:ext xmlns:c16="http://schemas.microsoft.com/office/drawing/2014/chart" uri="{C3380CC4-5D6E-409C-BE32-E72D297353CC}">
              <c16:uniqueId val="{00000003-5104-4DE6-B6E3-0007911BFECE}"/>
            </c:ext>
          </c:extLst>
        </c:ser>
        <c:ser>
          <c:idx val="4"/>
          <c:order val="4"/>
          <c:tx>
            <c:strRef>
              <c:f>Mechanism!$F$87</c:f>
              <c:strCache>
                <c:ptCount val="1"/>
                <c:pt idx="0">
                  <c:v>2020-21</c:v>
                </c:pt>
              </c:strCache>
            </c:strRef>
          </c:tx>
          <c:spPr>
            <a:solidFill>
              <a:srgbClr val="E7E6E6">
                <a:lumMod val="25000"/>
              </a:srgbClr>
            </a:solidFill>
            <a:ln>
              <a:solidFill>
                <a:sysClr val="windowText" lastClr="000000"/>
              </a:solidFill>
            </a:ln>
          </c:spPr>
          <c:invertIfNegative val="0"/>
          <c:cat>
            <c:strRef>
              <c:f>Mechanism!$A$88:$A$98</c:f>
              <c:strCache>
                <c:ptCount val="11"/>
                <c:pt idx="0">
                  <c:v>NT</c:v>
                </c:pt>
                <c:pt idx="1">
                  <c:v>WA</c:v>
                </c:pt>
                <c:pt idx="2">
                  <c:v>TAS</c:v>
                </c:pt>
                <c:pt idx="3">
                  <c:v>QLD</c:v>
                </c:pt>
                <c:pt idx="4">
                  <c:v>VIC</c:v>
                </c:pt>
                <c:pt idx="5">
                  <c:v>SA</c:v>
                </c:pt>
                <c:pt idx="6">
                  <c:v>ACT</c:v>
                </c:pt>
                <c:pt idx="7">
                  <c:v>NSW</c:v>
                </c:pt>
                <c:pt idx="8">
                  <c:v>Aus Gov</c:v>
                </c:pt>
                <c:pt idx="9">
                  <c:v>Seacare</c:v>
                </c:pt>
                <c:pt idx="10">
                  <c:v>Aus total</c:v>
                </c:pt>
              </c:strCache>
            </c:strRef>
          </c:cat>
          <c:val>
            <c:numRef>
              <c:f>Mechanism!$F$88:$F$98</c:f>
              <c:numCache>
                <c:formatCode>0.0</c:formatCode>
                <c:ptCount val="11"/>
                <c:pt idx="0">
                  <c:v>25.7</c:v>
                </c:pt>
                <c:pt idx="1">
                  <c:v>18.899999999999999</c:v>
                </c:pt>
                <c:pt idx="2">
                  <c:v>17.2</c:v>
                </c:pt>
                <c:pt idx="3">
                  <c:v>15.299999999999999</c:v>
                </c:pt>
                <c:pt idx="4">
                  <c:v>15.299999999999999</c:v>
                </c:pt>
                <c:pt idx="5">
                  <c:v>13.3</c:v>
                </c:pt>
                <c:pt idx="6">
                  <c:v>15.7</c:v>
                </c:pt>
                <c:pt idx="7">
                  <c:v>14.2</c:v>
                </c:pt>
                <c:pt idx="8">
                  <c:v>8</c:v>
                </c:pt>
                <c:pt idx="9">
                  <c:v>9.1999999999999993</c:v>
                </c:pt>
                <c:pt idx="10">
                  <c:v>15.2</c:v>
                </c:pt>
              </c:numCache>
            </c:numRef>
          </c:val>
          <c:extLst>
            <c:ext xmlns:c16="http://schemas.microsoft.com/office/drawing/2014/chart" uri="{C3380CC4-5D6E-409C-BE32-E72D297353CC}">
              <c16:uniqueId val="{00000004-5104-4DE6-B6E3-0007911BFECE}"/>
            </c:ext>
          </c:extLst>
        </c:ser>
        <c:ser>
          <c:idx val="5"/>
          <c:order val="5"/>
          <c:tx>
            <c:strRef>
              <c:f>Mechanism!$G$87</c:f>
              <c:strCache>
                <c:ptCount val="1"/>
                <c:pt idx="0">
                  <c:v>2021-22p</c:v>
                </c:pt>
              </c:strCache>
            </c:strRef>
          </c:tx>
          <c:spPr>
            <a:solidFill>
              <a:srgbClr val="C00000"/>
            </a:solidFill>
            <a:ln>
              <a:solidFill>
                <a:sysClr val="windowText" lastClr="000000"/>
              </a:solidFill>
            </a:ln>
          </c:spPr>
          <c:invertIfNegative val="0"/>
          <c:cat>
            <c:strRef>
              <c:f>Mechanism!$A$88:$A$98</c:f>
              <c:strCache>
                <c:ptCount val="11"/>
                <c:pt idx="0">
                  <c:v>NT</c:v>
                </c:pt>
                <c:pt idx="1">
                  <c:v>WA</c:v>
                </c:pt>
                <c:pt idx="2">
                  <c:v>TAS</c:v>
                </c:pt>
                <c:pt idx="3">
                  <c:v>QLD</c:v>
                </c:pt>
                <c:pt idx="4">
                  <c:v>VIC</c:v>
                </c:pt>
                <c:pt idx="5">
                  <c:v>SA</c:v>
                </c:pt>
                <c:pt idx="6">
                  <c:v>ACT</c:v>
                </c:pt>
                <c:pt idx="7">
                  <c:v>NSW</c:v>
                </c:pt>
                <c:pt idx="8">
                  <c:v>Aus Gov</c:v>
                </c:pt>
                <c:pt idx="9">
                  <c:v>Seacare</c:v>
                </c:pt>
                <c:pt idx="10">
                  <c:v>Aus total</c:v>
                </c:pt>
              </c:strCache>
            </c:strRef>
          </c:cat>
          <c:val>
            <c:numRef>
              <c:f>Mechanism!$G$88:$G$98</c:f>
              <c:numCache>
                <c:formatCode>0.0</c:formatCode>
                <c:ptCount val="11"/>
                <c:pt idx="0">
                  <c:v>23.599999999999998</c:v>
                </c:pt>
                <c:pt idx="1">
                  <c:v>20.100000000000001</c:v>
                </c:pt>
                <c:pt idx="2">
                  <c:v>16.8</c:v>
                </c:pt>
                <c:pt idx="3">
                  <c:v>16.5</c:v>
                </c:pt>
                <c:pt idx="4">
                  <c:v>16.2</c:v>
                </c:pt>
                <c:pt idx="5">
                  <c:v>14.899999999999999</c:v>
                </c:pt>
                <c:pt idx="6">
                  <c:v>14.499999999999998</c:v>
                </c:pt>
                <c:pt idx="7">
                  <c:v>12.6</c:v>
                </c:pt>
                <c:pt idx="8">
                  <c:v>10.4</c:v>
                </c:pt>
                <c:pt idx="9">
                  <c:v>6.2</c:v>
                </c:pt>
                <c:pt idx="10">
                  <c:v>15.1</c:v>
                </c:pt>
              </c:numCache>
            </c:numRef>
          </c:val>
          <c:extLst>
            <c:ext xmlns:c16="http://schemas.microsoft.com/office/drawing/2014/chart" uri="{C3380CC4-5D6E-409C-BE32-E72D297353CC}">
              <c16:uniqueId val="{00000005-5104-4DE6-B6E3-0007911BFECE}"/>
            </c:ext>
          </c:extLst>
        </c:ser>
        <c:dLbls>
          <c:showLegendKey val="0"/>
          <c:showVal val="0"/>
          <c:showCatName val="0"/>
          <c:showSerName val="0"/>
          <c:showPercent val="0"/>
          <c:showBubbleSize val="0"/>
        </c:dLbls>
        <c:gapWidth val="150"/>
        <c:axId val="476331392"/>
        <c:axId val="476341376"/>
      </c:barChart>
      <c:lineChart>
        <c:grouping val="standard"/>
        <c:varyColors val="0"/>
        <c:ser>
          <c:idx val="6"/>
          <c:order val="6"/>
          <c:tx>
            <c:strRef>
              <c:f>Mechanism!$H$87</c:f>
              <c:strCache>
                <c:ptCount val="1"/>
                <c:pt idx="0">
                  <c:v>2021-22p Aus</c:v>
                </c:pt>
              </c:strCache>
            </c:strRef>
          </c:tx>
          <c:spPr>
            <a:ln>
              <a:solidFill>
                <a:srgbClr val="C00000"/>
              </a:solidFill>
            </a:ln>
          </c:spPr>
          <c:marker>
            <c:symbol val="none"/>
          </c:marker>
          <c:cat>
            <c:strRef>
              <c:f>Mechanism!$A$88:$A$98</c:f>
              <c:strCache>
                <c:ptCount val="11"/>
                <c:pt idx="0">
                  <c:v>NT</c:v>
                </c:pt>
                <c:pt idx="1">
                  <c:v>WA</c:v>
                </c:pt>
                <c:pt idx="2">
                  <c:v>TAS</c:v>
                </c:pt>
                <c:pt idx="3">
                  <c:v>QLD</c:v>
                </c:pt>
                <c:pt idx="4">
                  <c:v>VIC</c:v>
                </c:pt>
                <c:pt idx="5">
                  <c:v>SA</c:v>
                </c:pt>
                <c:pt idx="6">
                  <c:v>ACT</c:v>
                </c:pt>
                <c:pt idx="7">
                  <c:v>NSW</c:v>
                </c:pt>
                <c:pt idx="8">
                  <c:v>Aus Gov</c:v>
                </c:pt>
                <c:pt idx="9">
                  <c:v>Seacare</c:v>
                </c:pt>
                <c:pt idx="10">
                  <c:v>Aus total</c:v>
                </c:pt>
              </c:strCache>
            </c:strRef>
          </c:cat>
          <c:val>
            <c:numRef>
              <c:f>Mechanism!$H$88:$H$98</c:f>
              <c:numCache>
                <c:formatCode>0.0</c:formatCode>
                <c:ptCount val="11"/>
                <c:pt idx="0">
                  <c:v>15.1</c:v>
                </c:pt>
                <c:pt idx="1">
                  <c:v>15.1</c:v>
                </c:pt>
                <c:pt idx="2">
                  <c:v>15.1</c:v>
                </c:pt>
                <c:pt idx="3">
                  <c:v>15.1</c:v>
                </c:pt>
                <c:pt idx="4">
                  <c:v>15.1</c:v>
                </c:pt>
                <c:pt idx="5">
                  <c:v>15.1</c:v>
                </c:pt>
                <c:pt idx="6">
                  <c:v>15.1</c:v>
                </c:pt>
                <c:pt idx="7">
                  <c:v>15.1</c:v>
                </c:pt>
                <c:pt idx="8">
                  <c:v>15.1</c:v>
                </c:pt>
                <c:pt idx="9">
                  <c:v>15.1</c:v>
                </c:pt>
              </c:numCache>
            </c:numRef>
          </c:val>
          <c:smooth val="0"/>
          <c:extLst>
            <c:ext xmlns:c16="http://schemas.microsoft.com/office/drawing/2014/chart" uri="{C3380CC4-5D6E-409C-BE32-E72D297353CC}">
              <c16:uniqueId val="{00000006-5104-4DE6-B6E3-0007911BFECE}"/>
            </c:ext>
          </c:extLst>
        </c:ser>
        <c:dLbls>
          <c:showLegendKey val="0"/>
          <c:showVal val="0"/>
          <c:showCatName val="0"/>
          <c:showSerName val="0"/>
          <c:showPercent val="0"/>
          <c:showBubbleSize val="0"/>
        </c:dLbls>
        <c:marker val="1"/>
        <c:smooth val="0"/>
        <c:axId val="476331392"/>
        <c:axId val="476341376"/>
      </c:lineChart>
      <c:catAx>
        <c:axId val="476331392"/>
        <c:scaling>
          <c:orientation val="minMax"/>
        </c:scaling>
        <c:delete val="0"/>
        <c:axPos val="b"/>
        <c:numFmt formatCode="General" sourceLinked="0"/>
        <c:majorTickMark val="out"/>
        <c:minorTickMark val="none"/>
        <c:tickLblPos val="nextTo"/>
        <c:crossAx val="476341376"/>
        <c:crosses val="autoZero"/>
        <c:auto val="1"/>
        <c:lblAlgn val="ctr"/>
        <c:lblOffset val="100"/>
        <c:noMultiLvlLbl val="0"/>
      </c:catAx>
      <c:valAx>
        <c:axId val="476341376"/>
        <c:scaling>
          <c:orientation val="minMax"/>
        </c:scaling>
        <c:delete val="0"/>
        <c:axPos val="l"/>
        <c:majorGridlines/>
        <c:title>
          <c:tx>
            <c:strRef>
              <c:f>'[3](b) Falls, Trips'!$L$12</c:f>
              <c:strCache>
                <c:ptCount val="1"/>
                <c:pt idx="0">
                  <c:v>Proportion of Claims (%)</c:v>
                </c:pt>
              </c:strCache>
            </c:strRef>
          </c:tx>
          <c:layout>
            <c:manualLayout>
              <c:xMode val="edge"/>
              <c:yMode val="edge"/>
              <c:x val="9.8146157404587445E-2"/>
              <c:y val="0.15983072284748778"/>
            </c:manualLayout>
          </c:layout>
          <c:overlay val="0"/>
          <c:txPr>
            <a:bodyPr rot="-5400000" vert="horz"/>
            <a:lstStyle/>
            <a:p>
              <a:pPr>
                <a:defRPr b="0"/>
              </a:pPr>
              <a:endParaRPr lang="en-US"/>
            </a:p>
          </c:txPr>
        </c:title>
        <c:numFmt formatCode="0.0" sourceLinked="1"/>
        <c:majorTickMark val="out"/>
        <c:minorTickMark val="none"/>
        <c:tickLblPos val="nextTo"/>
        <c:crossAx val="476331392"/>
        <c:crosses val="autoZero"/>
        <c:crossBetween val="between"/>
      </c:valAx>
      <c:dTable>
        <c:showHorzBorder val="0"/>
        <c:showVertBorder val="0"/>
        <c:showOutline val="0"/>
        <c:showKeys val="1"/>
      </c:dTable>
      <c:spPr>
        <a:ln>
          <a:solidFill>
            <a:schemeClr val="bg1">
              <a:lumMod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Mechanism!$B$111</c:f>
              <c:strCache>
                <c:ptCount val="1"/>
                <c:pt idx="0">
                  <c:v>2016-17</c:v>
                </c:pt>
              </c:strCache>
            </c:strRef>
          </c:tx>
          <c:spPr>
            <a:solidFill>
              <a:sysClr val="window" lastClr="FFFFFF"/>
            </a:solidFill>
            <a:ln>
              <a:solidFill>
                <a:sysClr val="windowText" lastClr="000000"/>
              </a:solidFill>
            </a:ln>
          </c:spPr>
          <c:invertIfNegative val="0"/>
          <c:cat>
            <c:strRef>
              <c:f>Mechanism!$A$112:$A$122</c:f>
              <c:strCache>
                <c:ptCount val="11"/>
                <c:pt idx="0">
                  <c:v>ACT</c:v>
                </c:pt>
                <c:pt idx="1">
                  <c:v>NT</c:v>
                </c:pt>
                <c:pt idx="2">
                  <c:v>TAS</c:v>
                </c:pt>
                <c:pt idx="3">
                  <c:v>QLD</c:v>
                </c:pt>
                <c:pt idx="4">
                  <c:v>WA</c:v>
                </c:pt>
                <c:pt idx="5">
                  <c:v>NSW</c:v>
                </c:pt>
                <c:pt idx="6">
                  <c:v>SA</c:v>
                </c:pt>
                <c:pt idx="7">
                  <c:v>Aus Gov</c:v>
                </c:pt>
                <c:pt idx="8">
                  <c:v>VIC</c:v>
                </c:pt>
                <c:pt idx="9">
                  <c:v>Seacare</c:v>
                </c:pt>
                <c:pt idx="10">
                  <c:v>Aus total</c:v>
                </c:pt>
              </c:strCache>
            </c:strRef>
          </c:cat>
          <c:val>
            <c:numRef>
              <c:f>Mechanism!$B$112:$B$122</c:f>
              <c:numCache>
                <c:formatCode>0.0</c:formatCode>
                <c:ptCount val="11"/>
                <c:pt idx="0">
                  <c:v>8.7999999999999989</c:v>
                </c:pt>
                <c:pt idx="1">
                  <c:v>8.6999999999999993</c:v>
                </c:pt>
                <c:pt idx="2">
                  <c:v>6.3</c:v>
                </c:pt>
                <c:pt idx="3">
                  <c:v>8.9</c:v>
                </c:pt>
                <c:pt idx="4">
                  <c:v>6.8000000000000007</c:v>
                </c:pt>
                <c:pt idx="5">
                  <c:v>8.5</c:v>
                </c:pt>
                <c:pt idx="6">
                  <c:v>5.8999999999999995</c:v>
                </c:pt>
                <c:pt idx="7">
                  <c:v>3.3000000000000003</c:v>
                </c:pt>
                <c:pt idx="8">
                  <c:v>4</c:v>
                </c:pt>
                <c:pt idx="9">
                  <c:v>0</c:v>
                </c:pt>
                <c:pt idx="10">
                  <c:v>7.3999999999999995</c:v>
                </c:pt>
              </c:numCache>
            </c:numRef>
          </c:val>
          <c:extLst>
            <c:ext xmlns:c16="http://schemas.microsoft.com/office/drawing/2014/chart" uri="{C3380CC4-5D6E-409C-BE32-E72D297353CC}">
              <c16:uniqueId val="{00000000-884B-40E8-B7F6-DCBB365C2768}"/>
            </c:ext>
          </c:extLst>
        </c:ser>
        <c:ser>
          <c:idx val="1"/>
          <c:order val="1"/>
          <c:tx>
            <c:strRef>
              <c:f>Mechanism!$C$111</c:f>
              <c:strCache>
                <c:ptCount val="1"/>
                <c:pt idx="0">
                  <c:v>2017-18</c:v>
                </c:pt>
              </c:strCache>
            </c:strRef>
          </c:tx>
          <c:spPr>
            <a:solidFill>
              <a:srgbClr val="E7E6E6">
                <a:lumMod val="90000"/>
              </a:srgbClr>
            </a:solidFill>
            <a:ln>
              <a:solidFill>
                <a:sysClr val="windowText" lastClr="000000"/>
              </a:solidFill>
            </a:ln>
          </c:spPr>
          <c:invertIfNegative val="0"/>
          <c:cat>
            <c:strRef>
              <c:f>Mechanism!$A$112:$A$122</c:f>
              <c:strCache>
                <c:ptCount val="11"/>
                <c:pt idx="0">
                  <c:v>ACT</c:v>
                </c:pt>
                <c:pt idx="1">
                  <c:v>NT</c:v>
                </c:pt>
                <c:pt idx="2">
                  <c:v>TAS</c:v>
                </c:pt>
                <c:pt idx="3">
                  <c:v>QLD</c:v>
                </c:pt>
                <c:pt idx="4">
                  <c:v>WA</c:v>
                </c:pt>
                <c:pt idx="5">
                  <c:v>NSW</c:v>
                </c:pt>
                <c:pt idx="6">
                  <c:v>SA</c:v>
                </c:pt>
                <c:pt idx="7">
                  <c:v>Aus Gov</c:v>
                </c:pt>
                <c:pt idx="8">
                  <c:v>VIC</c:v>
                </c:pt>
                <c:pt idx="9">
                  <c:v>Seacare</c:v>
                </c:pt>
                <c:pt idx="10">
                  <c:v>Aus total</c:v>
                </c:pt>
              </c:strCache>
            </c:strRef>
          </c:cat>
          <c:val>
            <c:numRef>
              <c:f>Mechanism!$C$112:$C$122</c:f>
              <c:numCache>
                <c:formatCode>0.0</c:formatCode>
                <c:ptCount val="11"/>
                <c:pt idx="0">
                  <c:v>5.5</c:v>
                </c:pt>
                <c:pt idx="1">
                  <c:v>6</c:v>
                </c:pt>
                <c:pt idx="2">
                  <c:v>6</c:v>
                </c:pt>
                <c:pt idx="3">
                  <c:v>8</c:v>
                </c:pt>
                <c:pt idx="4">
                  <c:v>6.7</c:v>
                </c:pt>
                <c:pt idx="5">
                  <c:v>8.4</c:v>
                </c:pt>
                <c:pt idx="6">
                  <c:v>5.3</c:v>
                </c:pt>
                <c:pt idx="7">
                  <c:v>2.8000000000000003</c:v>
                </c:pt>
                <c:pt idx="8">
                  <c:v>3.5999999999999996</c:v>
                </c:pt>
                <c:pt idx="9">
                  <c:v>7.3999999999999995</c:v>
                </c:pt>
                <c:pt idx="10">
                  <c:v>6.9</c:v>
                </c:pt>
              </c:numCache>
            </c:numRef>
          </c:val>
          <c:extLst>
            <c:ext xmlns:c16="http://schemas.microsoft.com/office/drawing/2014/chart" uri="{C3380CC4-5D6E-409C-BE32-E72D297353CC}">
              <c16:uniqueId val="{00000001-884B-40E8-B7F6-DCBB365C2768}"/>
            </c:ext>
          </c:extLst>
        </c:ser>
        <c:ser>
          <c:idx val="2"/>
          <c:order val="2"/>
          <c:tx>
            <c:strRef>
              <c:f>Mechanism!$D$111</c:f>
              <c:strCache>
                <c:ptCount val="1"/>
                <c:pt idx="0">
                  <c:v>2018-19</c:v>
                </c:pt>
              </c:strCache>
            </c:strRef>
          </c:tx>
          <c:spPr>
            <a:solidFill>
              <a:srgbClr val="E7E6E6">
                <a:lumMod val="75000"/>
              </a:srgbClr>
            </a:solidFill>
            <a:ln>
              <a:solidFill>
                <a:sysClr val="windowText" lastClr="000000"/>
              </a:solidFill>
            </a:ln>
          </c:spPr>
          <c:invertIfNegative val="0"/>
          <c:cat>
            <c:strRef>
              <c:f>Mechanism!$A$112:$A$122</c:f>
              <c:strCache>
                <c:ptCount val="11"/>
                <c:pt idx="0">
                  <c:v>ACT</c:v>
                </c:pt>
                <c:pt idx="1">
                  <c:v>NT</c:v>
                </c:pt>
                <c:pt idx="2">
                  <c:v>TAS</c:v>
                </c:pt>
                <c:pt idx="3">
                  <c:v>QLD</c:v>
                </c:pt>
                <c:pt idx="4">
                  <c:v>WA</c:v>
                </c:pt>
                <c:pt idx="5">
                  <c:v>NSW</c:v>
                </c:pt>
                <c:pt idx="6">
                  <c:v>SA</c:v>
                </c:pt>
                <c:pt idx="7">
                  <c:v>Aus Gov</c:v>
                </c:pt>
                <c:pt idx="8">
                  <c:v>VIC</c:v>
                </c:pt>
                <c:pt idx="9">
                  <c:v>Seacare</c:v>
                </c:pt>
                <c:pt idx="10">
                  <c:v>Aus total</c:v>
                </c:pt>
              </c:strCache>
            </c:strRef>
          </c:cat>
          <c:val>
            <c:numRef>
              <c:f>Mechanism!$D$112:$D$122</c:f>
              <c:numCache>
                <c:formatCode>0.0</c:formatCode>
                <c:ptCount val="11"/>
                <c:pt idx="0">
                  <c:v>11.200000000000001</c:v>
                </c:pt>
                <c:pt idx="1">
                  <c:v>6.7</c:v>
                </c:pt>
                <c:pt idx="2">
                  <c:v>6.9</c:v>
                </c:pt>
                <c:pt idx="3">
                  <c:v>7.5</c:v>
                </c:pt>
                <c:pt idx="4">
                  <c:v>6.8000000000000007</c:v>
                </c:pt>
                <c:pt idx="5">
                  <c:v>7.5</c:v>
                </c:pt>
                <c:pt idx="6">
                  <c:v>5.6000000000000005</c:v>
                </c:pt>
                <c:pt idx="7">
                  <c:v>2.9000000000000004</c:v>
                </c:pt>
                <c:pt idx="8">
                  <c:v>3.5999999999999996</c:v>
                </c:pt>
                <c:pt idx="9">
                  <c:v>0</c:v>
                </c:pt>
                <c:pt idx="10">
                  <c:v>6.6000000000000005</c:v>
                </c:pt>
              </c:numCache>
            </c:numRef>
          </c:val>
          <c:extLst>
            <c:ext xmlns:c16="http://schemas.microsoft.com/office/drawing/2014/chart" uri="{C3380CC4-5D6E-409C-BE32-E72D297353CC}">
              <c16:uniqueId val="{00000002-884B-40E8-B7F6-DCBB365C2768}"/>
            </c:ext>
          </c:extLst>
        </c:ser>
        <c:ser>
          <c:idx val="3"/>
          <c:order val="3"/>
          <c:tx>
            <c:strRef>
              <c:f>Mechanism!$E$111</c:f>
              <c:strCache>
                <c:ptCount val="1"/>
                <c:pt idx="0">
                  <c:v>2019-20</c:v>
                </c:pt>
              </c:strCache>
            </c:strRef>
          </c:tx>
          <c:spPr>
            <a:solidFill>
              <a:srgbClr val="E7E6E6">
                <a:lumMod val="50000"/>
              </a:srgbClr>
            </a:solidFill>
            <a:ln>
              <a:solidFill>
                <a:sysClr val="windowText" lastClr="000000"/>
              </a:solidFill>
            </a:ln>
          </c:spPr>
          <c:invertIfNegative val="0"/>
          <c:cat>
            <c:strRef>
              <c:f>Mechanism!$A$112:$A$122</c:f>
              <c:strCache>
                <c:ptCount val="11"/>
                <c:pt idx="0">
                  <c:v>ACT</c:v>
                </c:pt>
                <c:pt idx="1">
                  <c:v>NT</c:v>
                </c:pt>
                <c:pt idx="2">
                  <c:v>TAS</c:v>
                </c:pt>
                <c:pt idx="3">
                  <c:v>QLD</c:v>
                </c:pt>
                <c:pt idx="4">
                  <c:v>WA</c:v>
                </c:pt>
                <c:pt idx="5">
                  <c:v>NSW</c:v>
                </c:pt>
                <c:pt idx="6">
                  <c:v>SA</c:v>
                </c:pt>
                <c:pt idx="7">
                  <c:v>Aus Gov</c:v>
                </c:pt>
                <c:pt idx="8">
                  <c:v>VIC</c:v>
                </c:pt>
                <c:pt idx="9">
                  <c:v>Seacare</c:v>
                </c:pt>
                <c:pt idx="10">
                  <c:v>Aus total</c:v>
                </c:pt>
              </c:strCache>
            </c:strRef>
          </c:cat>
          <c:val>
            <c:numRef>
              <c:f>Mechanism!$E$112:$E$122</c:f>
              <c:numCache>
                <c:formatCode>0.0</c:formatCode>
                <c:ptCount val="11"/>
                <c:pt idx="0">
                  <c:v>10.299999999999999</c:v>
                </c:pt>
                <c:pt idx="1">
                  <c:v>7.0000000000000009</c:v>
                </c:pt>
                <c:pt idx="2">
                  <c:v>5.8999999999999995</c:v>
                </c:pt>
                <c:pt idx="3">
                  <c:v>7.1999999999999993</c:v>
                </c:pt>
                <c:pt idx="4">
                  <c:v>6.9</c:v>
                </c:pt>
                <c:pt idx="5">
                  <c:v>9.1</c:v>
                </c:pt>
                <c:pt idx="6">
                  <c:v>5.8999999999999995</c:v>
                </c:pt>
                <c:pt idx="7">
                  <c:v>3.3000000000000003</c:v>
                </c:pt>
                <c:pt idx="8">
                  <c:v>3.3000000000000003</c:v>
                </c:pt>
                <c:pt idx="9">
                  <c:v>8.9</c:v>
                </c:pt>
                <c:pt idx="10">
                  <c:v>7.1</c:v>
                </c:pt>
              </c:numCache>
            </c:numRef>
          </c:val>
          <c:extLst>
            <c:ext xmlns:c16="http://schemas.microsoft.com/office/drawing/2014/chart" uri="{C3380CC4-5D6E-409C-BE32-E72D297353CC}">
              <c16:uniqueId val="{00000003-884B-40E8-B7F6-DCBB365C2768}"/>
            </c:ext>
          </c:extLst>
        </c:ser>
        <c:ser>
          <c:idx val="4"/>
          <c:order val="4"/>
          <c:tx>
            <c:strRef>
              <c:f>Mechanism!$F$111</c:f>
              <c:strCache>
                <c:ptCount val="1"/>
                <c:pt idx="0">
                  <c:v>2020-21</c:v>
                </c:pt>
              </c:strCache>
            </c:strRef>
          </c:tx>
          <c:spPr>
            <a:solidFill>
              <a:srgbClr val="E7E6E6">
                <a:lumMod val="25000"/>
              </a:srgbClr>
            </a:solidFill>
            <a:ln>
              <a:solidFill>
                <a:sysClr val="windowText" lastClr="000000"/>
              </a:solidFill>
            </a:ln>
          </c:spPr>
          <c:invertIfNegative val="0"/>
          <c:cat>
            <c:strRef>
              <c:f>Mechanism!$A$112:$A$122</c:f>
              <c:strCache>
                <c:ptCount val="11"/>
                <c:pt idx="0">
                  <c:v>ACT</c:v>
                </c:pt>
                <c:pt idx="1">
                  <c:v>NT</c:v>
                </c:pt>
                <c:pt idx="2">
                  <c:v>TAS</c:v>
                </c:pt>
                <c:pt idx="3">
                  <c:v>QLD</c:v>
                </c:pt>
                <c:pt idx="4">
                  <c:v>WA</c:v>
                </c:pt>
                <c:pt idx="5">
                  <c:v>NSW</c:v>
                </c:pt>
                <c:pt idx="6">
                  <c:v>SA</c:v>
                </c:pt>
                <c:pt idx="7">
                  <c:v>Aus Gov</c:v>
                </c:pt>
                <c:pt idx="8">
                  <c:v>VIC</c:v>
                </c:pt>
                <c:pt idx="9">
                  <c:v>Seacare</c:v>
                </c:pt>
                <c:pt idx="10">
                  <c:v>Aus total</c:v>
                </c:pt>
              </c:strCache>
            </c:strRef>
          </c:cat>
          <c:val>
            <c:numRef>
              <c:f>Mechanism!$F$112:$F$122</c:f>
              <c:numCache>
                <c:formatCode>0.0</c:formatCode>
                <c:ptCount val="11"/>
                <c:pt idx="0">
                  <c:v>7.1</c:v>
                </c:pt>
                <c:pt idx="1">
                  <c:v>9.4</c:v>
                </c:pt>
                <c:pt idx="2">
                  <c:v>5.3</c:v>
                </c:pt>
                <c:pt idx="3">
                  <c:v>7.5</c:v>
                </c:pt>
                <c:pt idx="4">
                  <c:v>7.0000000000000009</c:v>
                </c:pt>
                <c:pt idx="5">
                  <c:v>9.3000000000000007</c:v>
                </c:pt>
                <c:pt idx="6">
                  <c:v>5.5</c:v>
                </c:pt>
                <c:pt idx="7">
                  <c:v>3.4000000000000004</c:v>
                </c:pt>
                <c:pt idx="8">
                  <c:v>3.3000000000000003</c:v>
                </c:pt>
                <c:pt idx="9">
                  <c:v>6.6000000000000005</c:v>
                </c:pt>
                <c:pt idx="10">
                  <c:v>7.1999999999999993</c:v>
                </c:pt>
              </c:numCache>
            </c:numRef>
          </c:val>
          <c:extLst>
            <c:ext xmlns:c16="http://schemas.microsoft.com/office/drawing/2014/chart" uri="{C3380CC4-5D6E-409C-BE32-E72D297353CC}">
              <c16:uniqueId val="{00000004-884B-40E8-B7F6-DCBB365C2768}"/>
            </c:ext>
          </c:extLst>
        </c:ser>
        <c:ser>
          <c:idx val="5"/>
          <c:order val="5"/>
          <c:tx>
            <c:strRef>
              <c:f>Mechanism!$G$111</c:f>
              <c:strCache>
                <c:ptCount val="1"/>
                <c:pt idx="0">
                  <c:v>2021-22p</c:v>
                </c:pt>
              </c:strCache>
            </c:strRef>
          </c:tx>
          <c:spPr>
            <a:solidFill>
              <a:srgbClr val="C00000"/>
            </a:solidFill>
            <a:ln>
              <a:solidFill>
                <a:sysClr val="windowText" lastClr="000000"/>
              </a:solidFill>
            </a:ln>
          </c:spPr>
          <c:invertIfNegative val="0"/>
          <c:cat>
            <c:strRef>
              <c:f>Mechanism!$A$112:$A$122</c:f>
              <c:strCache>
                <c:ptCount val="11"/>
                <c:pt idx="0">
                  <c:v>ACT</c:v>
                </c:pt>
                <c:pt idx="1">
                  <c:v>NT</c:v>
                </c:pt>
                <c:pt idx="2">
                  <c:v>TAS</c:v>
                </c:pt>
                <c:pt idx="3">
                  <c:v>QLD</c:v>
                </c:pt>
                <c:pt idx="4">
                  <c:v>WA</c:v>
                </c:pt>
                <c:pt idx="5">
                  <c:v>NSW</c:v>
                </c:pt>
                <c:pt idx="6">
                  <c:v>SA</c:v>
                </c:pt>
                <c:pt idx="7">
                  <c:v>Aus Gov</c:v>
                </c:pt>
                <c:pt idx="8">
                  <c:v>VIC</c:v>
                </c:pt>
                <c:pt idx="9">
                  <c:v>Seacare</c:v>
                </c:pt>
                <c:pt idx="10">
                  <c:v>Aus total</c:v>
                </c:pt>
              </c:strCache>
            </c:strRef>
          </c:cat>
          <c:val>
            <c:numRef>
              <c:f>Mechanism!$G$112:$G$122</c:f>
              <c:numCache>
                <c:formatCode>0.0</c:formatCode>
                <c:ptCount val="11"/>
                <c:pt idx="0">
                  <c:v>11.3</c:v>
                </c:pt>
                <c:pt idx="1">
                  <c:v>10.6</c:v>
                </c:pt>
                <c:pt idx="2">
                  <c:v>8.2000000000000011</c:v>
                </c:pt>
                <c:pt idx="3">
                  <c:v>7.6</c:v>
                </c:pt>
                <c:pt idx="4">
                  <c:v>7.3</c:v>
                </c:pt>
                <c:pt idx="5">
                  <c:v>7.0000000000000009</c:v>
                </c:pt>
                <c:pt idx="6">
                  <c:v>6.6000000000000005</c:v>
                </c:pt>
                <c:pt idx="7">
                  <c:v>3.8</c:v>
                </c:pt>
                <c:pt idx="8">
                  <c:v>3.5000000000000004</c:v>
                </c:pt>
                <c:pt idx="9">
                  <c:v>0</c:v>
                </c:pt>
                <c:pt idx="10">
                  <c:v>6.6000000000000005</c:v>
                </c:pt>
              </c:numCache>
            </c:numRef>
          </c:val>
          <c:extLst>
            <c:ext xmlns:c16="http://schemas.microsoft.com/office/drawing/2014/chart" uri="{C3380CC4-5D6E-409C-BE32-E72D297353CC}">
              <c16:uniqueId val="{00000005-884B-40E8-B7F6-DCBB365C2768}"/>
            </c:ext>
          </c:extLst>
        </c:ser>
        <c:dLbls>
          <c:showLegendKey val="0"/>
          <c:showVal val="0"/>
          <c:showCatName val="0"/>
          <c:showSerName val="0"/>
          <c:showPercent val="0"/>
          <c:showBubbleSize val="0"/>
        </c:dLbls>
        <c:gapWidth val="150"/>
        <c:axId val="479996544"/>
        <c:axId val="478035968"/>
      </c:barChart>
      <c:lineChart>
        <c:grouping val="standard"/>
        <c:varyColors val="0"/>
        <c:ser>
          <c:idx val="6"/>
          <c:order val="6"/>
          <c:tx>
            <c:strRef>
              <c:f>Mechanism!$H$111</c:f>
              <c:strCache>
                <c:ptCount val="1"/>
                <c:pt idx="0">
                  <c:v>2021-22p Aus</c:v>
                </c:pt>
              </c:strCache>
            </c:strRef>
          </c:tx>
          <c:spPr>
            <a:ln>
              <a:solidFill>
                <a:srgbClr val="C00000"/>
              </a:solidFill>
            </a:ln>
          </c:spPr>
          <c:marker>
            <c:symbol val="none"/>
          </c:marker>
          <c:cat>
            <c:strRef>
              <c:f>Mechanism!$A$112:$A$122</c:f>
              <c:strCache>
                <c:ptCount val="11"/>
                <c:pt idx="0">
                  <c:v>ACT</c:v>
                </c:pt>
                <c:pt idx="1">
                  <c:v>NT</c:v>
                </c:pt>
                <c:pt idx="2">
                  <c:v>TAS</c:v>
                </c:pt>
                <c:pt idx="3">
                  <c:v>QLD</c:v>
                </c:pt>
                <c:pt idx="4">
                  <c:v>WA</c:v>
                </c:pt>
                <c:pt idx="5">
                  <c:v>NSW</c:v>
                </c:pt>
                <c:pt idx="6">
                  <c:v>SA</c:v>
                </c:pt>
                <c:pt idx="7">
                  <c:v>Aus Gov</c:v>
                </c:pt>
                <c:pt idx="8">
                  <c:v>VIC</c:v>
                </c:pt>
                <c:pt idx="9">
                  <c:v>Seacare</c:v>
                </c:pt>
                <c:pt idx="10">
                  <c:v>Aus total</c:v>
                </c:pt>
              </c:strCache>
            </c:strRef>
          </c:cat>
          <c:val>
            <c:numRef>
              <c:f>Mechanism!$H$112:$H$122</c:f>
              <c:numCache>
                <c:formatCode>0.0</c:formatCode>
                <c:ptCount val="11"/>
                <c:pt idx="0">
                  <c:v>6.6000000000000005</c:v>
                </c:pt>
                <c:pt idx="1">
                  <c:v>6.6000000000000005</c:v>
                </c:pt>
                <c:pt idx="2">
                  <c:v>6.6000000000000005</c:v>
                </c:pt>
                <c:pt idx="3">
                  <c:v>6.6000000000000005</c:v>
                </c:pt>
                <c:pt idx="4">
                  <c:v>6.6000000000000005</c:v>
                </c:pt>
                <c:pt idx="5">
                  <c:v>6.6000000000000005</c:v>
                </c:pt>
                <c:pt idx="6">
                  <c:v>6.6000000000000005</c:v>
                </c:pt>
                <c:pt idx="7">
                  <c:v>6.6000000000000005</c:v>
                </c:pt>
                <c:pt idx="8">
                  <c:v>6.6000000000000005</c:v>
                </c:pt>
                <c:pt idx="9">
                  <c:v>6.6000000000000005</c:v>
                </c:pt>
              </c:numCache>
            </c:numRef>
          </c:val>
          <c:smooth val="0"/>
          <c:extLst>
            <c:ext xmlns:c16="http://schemas.microsoft.com/office/drawing/2014/chart" uri="{C3380CC4-5D6E-409C-BE32-E72D297353CC}">
              <c16:uniqueId val="{00000006-884B-40E8-B7F6-DCBB365C2768}"/>
            </c:ext>
          </c:extLst>
        </c:ser>
        <c:dLbls>
          <c:showLegendKey val="0"/>
          <c:showVal val="0"/>
          <c:showCatName val="0"/>
          <c:showSerName val="0"/>
          <c:showPercent val="0"/>
          <c:showBubbleSize val="0"/>
        </c:dLbls>
        <c:marker val="1"/>
        <c:smooth val="0"/>
        <c:axId val="479996544"/>
        <c:axId val="478035968"/>
      </c:lineChart>
      <c:catAx>
        <c:axId val="479996544"/>
        <c:scaling>
          <c:orientation val="minMax"/>
        </c:scaling>
        <c:delete val="0"/>
        <c:axPos val="b"/>
        <c:numFmt formatCode="General" sourceLinked="0"/>
        <c:majorTickMark val="out"/>
        <c:minorTickMark val="none"/>
        <c:tickLblPos val="nextTo"/>
        <c:crossAx val="478035968"/>
        <c:crosses val="autoZero"/>
        <c:auto val="1"/>
        <c:lblAlgn val="ctr"/>
        <c:lblOffset val="100"/>
        <c:noMultiLvlLbl val="0"/>
      </c:catAx>
      <c:valAx>
        <c:axId val="478035968"/>
        <c:scaling>
          <c:orientation val="minMax"/>
        </c:scaling>
        <c:delete val="0"/>
        <c:axPos val="l"/>
        <c:majorGridlines/>
        <c:title>
          <c:tx>
            <c:strRef>
              <c:f>'[1](b) Falls, Trips'!$L$12</c:f>
              <c:strCache>
                <c:ptCount val="1"/>
                <c:pt idx="0">
                  <c:v>Proportion of Claims (%)</c:v>
                </c:pt>
              </c:strCache>
            </c:strRef>
          </c:tx>
          <c:layout>
            <c:manualLayout>
              <c:xMode val="edge"/>
              <c:yMode val="edge"/>
              <c:x val="3.3333333333333333E-2"/>
              <c:y val="0.24327476426557795"/>
            </c:manualLayout>
          </c:layout>
          <c:overlay val="0"/>
          <c:txPr>
            <a:bodyPr rot="-5400000" vert="horz"/>
            <a:lstStyle/>
            <a:p>
              <a:pPr>
                <a:defRPr b="0"/>
              </a:pPr>
              <a:endParaRPr lang="en-US"/>
            </a:p>
          </c:txPr>
        </c:title>
        <c:numFmt formatCode="0.0" sourceLinked="1"/>
        <c:majorTickMark val="out"/>
        <c:minorTickMark val="none"/>
        <c:tickLblPos val="nextTo"/>
        <c:crossAx val="479996544"/>
        <c:crosses val="autoZero"/>
        <c:crossBetween val="between"/>
      </c:valAx>
      <c:dTable>
        <c:showHorzBorder val="0"/>
        <c:showVertBorder val="0"/>
        <c:showOutline val="0"/>
        <c:showKeys val="1"/>
      </c:dTable>
      <c:spPr>
        <a:ln>
          <a:solidFill>
            <a:schemeClr val="bg1">
              <a:lumMod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0.22136</cdr:x>
      <cdr:y>0.93896</cdr:y>
    </cdr:from>
    <cdr:to>
      <cdr:x>0.99659</cdr:x>
      <cdr:y>1</cdr:y>
    </cdr:to>
    <cdr:sp macro="" textlink="">
      <cdr:nvSpPr>
        <cdr:cNvPr id="559105" name="Rectangle 1"/>
        <cdr:cNvSpPr>
          <a:spLocks xmlns:a="http://schemas.openxmlformats.org/drawingml/2006/main" noChangeArrowheads="1"/>
        </cdr:cNvSpPr>
      </cdr:nvSpPr>
      <cdr:spPr bwMode="auto">
        <a:xfrm xmlns:a="http://schemas.openxmlformats.org/drawingml/2006/main" flipV="1">
          <a:off x="1238102" y="2598420"/>
          <a:ext cx="4335927" cy="1689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AU"/>
        </a:p>
      </cdr:txBody>
    </cdr:sp>
  </cdr:relSizeAnchor>
</c:userShapes>
</file>

<file path=word/drawings/drawing10.xml><?xml version="1.0" encoding="utf-8"?>
<c:userShapes xmlns:c="http://schemas.openxmlformats.org/drawingml/2006/chart">
  <cdr:relSizeAnchor xmlns:cdr="http://schemas.openxmlformats.org/drawingml/2006/chartDrawing">
    <cdr:from>
      <cdr:x>0.18786</cdr:x>
      <cdr:y>0.94523</cdr:y>
    </cdr:from>
    <cdr:to>
      <cdr:x>0.89522</cdr:x>
      <cdr:y>1</cdr:y>
    </cdr:to>
    <cdr:sp macro="" textlink="">
      <cdr:nvSpPr>
        <cdr:cNvPr id="3" name="Rectangle 2">
          <a:extLst xmlns:a="http://schemas.openxmlformats.org/drawingml/2006/main">
            <a:ext uri="{FF2B5EF4-FFF2-40B4-BE49-F238E27FC236}">
              <a16:creationId xmlns:a16="http://schemas.microsoft.com/office/drawing/2014/main" id="{18BEAE83-69BD-4A8A-B19E-53A2A8151990}"/>
            </a:ext>
          </a:extLst>
        </cdr:cNvPr>
        <cdr:cNvSpPr/>
      </cdr:nvSpPr>
      <cdr:spPr>
        <a:xfrm xmlns:a="http://schemas.openxmlformats.org/drawingml/2006/main">
          <a:off x="1413101" y="3762776"/>
          <a:ext cx="5320796" cy="218029"/>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dr:relSizeAnchor xmlns:cdr="http://schemas.openxmlformats.org/drawingml/2006/chartDrawing">
    <cdr:from>
      <cdr:x>0.85084</cdr:x>
      <cdr:y>0.63839</cdr:y>
    </cdr:from>
    <cdr:to>
      <cdr:x>0.88749</cdr:x>
      <cdr:y>0.92591</cdr:y>
    </cdr:to>
    <cdr:sp macro="" textlink="">
      <cdr:nvSpPr>
        <cdr:cNvPr id="4" name="Rectangle 3"/>
        <cdr:cNvSpPr/>
      </cdr:nvSpPr>
      <cdr:spPr>
        <a:xfrm xmlns:a="http://schemas.openxmlformats.org/drawingml/2006/main">
          <a:off x="5168348" y="2083242"/>
          <a:ext cx="222636" cy="938254"/>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0.84349</cdr:x>
      <cdr:y>0.6369</cdr:y>
    </cdr:from>
    <cdr:to>
      <cdr:x>0.91824</cdr:x>
      <cdr:y>0.94338</cdr:y>
    </cdr:to>
    <cdr:sp macro="" textlink="">
      <cdr:nvSpPr>
        <cdr:cNvPr id="2" name="TextBox 1">
          <a:extLst xmlns:a="http://schemas.openxmlformats.org/drawingml/2006/main">
            <a:ext uri="{FF2B5EF4-FFF2-40B4-BE49-F238E27FC236}">
              <a16:creationId xmlns:a16="http://schemas.microsoft.com/office/drawing/2014/main" id="{65B0405D-CD20-9785-48EB-177AE9D64886}"/>
            </a:ext>
          </a:extLst>
        </cdr:cNvPr>
        <cdr:cNvSpPr txBox="1"/>
      </cdr:nvSpPr>
      <cdr:spPr>
        <a:xfrm xmlns:a="http://schemas.openxmlformats.org/drawingml/2006/main">
          <a:off x="5123704" y="2078373"/>
          <a:ext cx="454062" cy="1000126"/>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300"/>
            </a:spcAft>
            <a:buClrTx/>
            <a:buSzTx/>
            <a:buFontTx/>
            <a:buNone/>
            <a:tabLst/>
            <a:defRPr/>
          </a:pPr>
          <a:r>
            <a:rPr lang="en-AU" sz="800">
              <a:effectLst/>
              <a:latin typeface="Arial" panose="020B0604020202020204" pitchFamily="34" charset="0"/>
              <a:ea typeface="+mn-ea"/>
              <a:cs typeface="Arial" panose="020B0604020202020204" pitchFamily="34" charset="0"/>
            </a:rPr>
            <a:t>n.p.</a:t>
          </a:r>
        </a:p>
        <a:p xmlns:a="http://schemas.openxmlformats.org/drawingml/2006/main">
          <a:pPr>
            <a:spcAft>
              <a:spcPts val="300"/>
            </a:spcAft>
          </a:pPr>
          <a:r>
            <a:rPr lang="en-AU" sz="800">
              <a:latin typeface="Arial" panose="020B0604020202020204" pitchFamily="34" charset="0"/>
              <a:cs typeface="Arial" panose="020B0604020202020204" pitchFamily="34" charset="0"/>
            </a:rPr>
            <a:t>n.p.</a:t>
          </a:r>
        </a:p>
        <a:p xmlns:a="http://schemas.openxmlformats.org/drawingml/2006/main">
          <a:pPr>
            <a:spcAft>
              <a:spcPts val="300"/>
            </a:spcAft>
          </a:pPr>
          <a:r>
            <a:rPr lang="en-AU" sz="800">
              <a:latin typeface="Arial" panose="020B0604020202020204" pitchFamily="34" charset="0"/>
              <a:cs typeface="Arial" panose="020B0604020202020204" pitchFamily="34" charset="0"/>
            </a:rPr>
            <a:t>n.p.</a:t>
          </a:r>
        </a:p>
        <a:p xmlns:a="http://schemas.openxmlformats.org/drawingml/2006/main">
          <a:pPr>
            <a:spcAft>
              <a:spcPts val="300"/>
            </a:spcAft>
          </a:pPr>
          <a:r>
            <a:rPr lang="en-AU" sz="800">
              <a:latin typeface="Arial" panose="020B0604020202020204" pitchFamily="34" charset="0"/>
              <a:cs typeface="Arial" panose="020B0604020202020204" pitchFamily="34" charset="0"/>
            </a:rPr>
            <a:t>6.7</a:t>
          </a:r>
        </a:p>
        <a:p xmlns:a="http://schemas.openxmlformats.org/drawingml/2006/main">
          <a:pPr>
            <a:spcAft>
              <a:spcPts val="300"/>
            </a:spcAft>
          </a:pPr>
          <a:r>
            <a:rPr lang="en-AU" sz="800">
              <a:latin typeface="Arial" panose="020B0604020202020204" pitchFamily="34" charset="0"/>
              <a:cs typeface="Arial" panose="020B0604020202020204" pitchFamily="34" charset="0"/>
            </a:rPr>
            <a:t>n.p.</a:t>
          </a:r>
        </a:p>
        <a:p xmlns:a="http://schemas.openxmlformats.org/drawingml/2006/main">
          <a:r>
            <a:rPr lang="en-AU" sz="800">
              <a:effectLst/>
              <a:latin typeface="Arial" panose="020B0604020202020204" pitchFamily="34" charset="0"/>
              <a:ea typeface="+mn-ea"/>
              <a:cs typeface="Arial" panose="020B0604020202020204" pitchFamily="34" charset="0"/>
            </a:rPr>
            <a:t>n.p.</a:t>
          </a:r>
        </a:p>
      </cdr:txBody>
    </cdr:sp>
  </cdr:relSizeAnchor>
</c:userShapes>
</file>

<file path=word/drawings/drawing11.xml><?xml version="1.0" encoding="utf-8"?>
<c:userShapes xmlns:c="http://schemas.openxmlformats.org/drawingml/2006/chart">
  <cdr:relSizeAnchor xmlns:cdr="http://schemas.openxmlformats.org/drawingml/2006/chartDrawing">
    <cdr:from>
      <cdr:x>0.22211</cdr:x>
      <cdr:y>0.92478</cdr:y>
    </cdr:from>
    <cdr:to>
      <cdr:x>0.93456</cdr:x>
      <cdr:y>0.97648</cdr:y>
    </cdr:to>
    <cdr:sp macro="" textlink="">
      <cdr:nvSpPr>
        <cdr:cNvPr id="2" name="Rectangle 1">
          <a:extLst xmlns:a="http://schemas.openxmlformats.org/drawingml/2006/main">
            <a:ext uri="{FF2B5EF4-FFF2-40B4-BE49-F238E27FC236}">
              <a16:creationId xmlns:a16="http://schemas.microsoft.com/office/drawing/2014/main" id="{CAE2F94D-69F0-4696-B4DD-D66B016C8B21}"/>
            </a:ext>
          </a:extLst>
        </cdr:cNvPr>
        <cdr:cNvSpPr/>
      </cdr:nvSpPr>
      <cdr:spPr>
        <a:xfrm xmlns:a="http://schemas.openxmlformats.org/drawingml/2006/main">
          <a:off x="1245354" y="2857500"/>
          <a:ext cx="3994743" cy="159735"/>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userShapes>
</file>

<file path=word/drawings/drawing2.xml><?xml version="1.0" encoding="utf-8"?>
<c:userShapes xmlns:c="http://schemas.openxmlformats.org/drawingml/2006/chart">
  <cdr:relSizeAnchor xmlns:cdr="http://schemas.openxmlformats.org/drawingml/2006/chartDrawing">
    <cdr:from>
      <cdr:x>0.21963</cdr:x>
      <cdr:y>0.95347</cdr:y>
    </cdr:from>
    <cdr:to>
      <cdr:x>0.982</cdr:x>
      <cdr:y>0.9932</cdr:y>
    </cdr:to>
    <cdr:sp macro="" textlink="">
      <cdr:nvSpPr>
        <cdr:cNvPr id="559105" name="Rectangle 1"/>
        <cdr:cNvSpPr>
          <a:spLocks xmlns:a="http://schemas.openxmlformats.org/drawingml/2006/main" noChangeArrowheads="1"/>
        </cdr:cNvSpPr>
      </cdr:nvSpPr>
      <cdr:spPr bwMode="auto">
        <a:xfrm xmlns:a="http://schemas.openxmlformats.org/drawingml/2006/main" flipV="1">
          <a:off x="1231501" y="2706377"/>
          <a:ext cx="4274647" cy="11277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AU"/>
        </a:p>
      </cdr:txBody>
    </cdr:sp>
  </cdr:relSizeAnchor>
</c:userShapes>
</file>

<file path=word/drawings/drawing3.xml><?xml version="1.0" encoding="utf-8"?>
<c:userShapes xmlns:c="http://schemas.openxmlformats.org/drawingml/2006/chart">
  <cdr:relSizeAnchor xmlns:cdr="http://schemas.openxmlformats.org/drawingml/2006/chartDrawing">
    <cdr:from>
      <cdr:x>0.18635</cdr:x>
      <cdr:y>0.95915</cdr:y>
    </cdr:from>
    <cdr:to>
      <cdr:x>0.95552</cdr:x>
      <cdr:y>1</cdr:y>
    </cdr:to>
    <cdr:grpSp>
      <cdr:nvGrpSpPr>
        <cdr:cNvPr id="2" name="Group 1">
          <a:extLst xmlns:a="http://schemas.openxmlformats.org/drawingml/2006/main">
            <a:ext uri="{FF2B5EF4-FFF2-40B4-BE49-F238E27FC236}">
              <a16:creationId xmlns:a16="http://schemas.microsoft.com/office/drawing/2014/main" id="{C266675F-1F7D-4F7A-8DC2-A37F3309A68B}"/>
            </a:ext>
          </a:extLst>
        </cdr:cNvPr>
        <cdr:cNvGrpSpPr/>
      </cdr:nvGrpSpPr>
      <cdr:grpSpPr>
        <a:xfrm xmlns:a="http://schemas.openxmlformats.org/drawingml/2006/main">
          <a:off x="1210539" y="3760946"/>
          <a:ext cx="4996567" cy="160178"/>
          <a:chOff x="1285887" y="3503503"/>
          <a:chExt cx="5172499" cy="149988"/>
        </a:xfrm>
      </cdr:grpSpPr>
      <cdr:sp macro="" textlink="">
        <cdr:nvSpPr>
          <cdr:cNvPr id="559105" name="Rectangle 1"/>
          <cdr:cNvSpPr>
            <a:spLocks xmlns:a="http://schemas.openxmlformats.org/drawingml/2006/main" noChangeArrowheads="1"/>
          </cdr:cNvSpPr>
        </cdr:nvSpPr>
        <cdr:spPr bwMode="auto">
          <a:xfrm xmlns:a="http://schemas.openxmlformats.org/drawingml/2006/main">
            <a:off x="1285887" y="3503503"/>
            <a:ext cx="5172499" cy="14998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AU"/>
          </a:p>
        </cdr:txBody>
      </cdr:sp>
    </cdr:grpSp>
  </cdr:relSizeAnchor>
</c:userShapes>
</file>

<file path=word/drawings/drawing4.xml><?xml version="1.0" encoding="utf-8"?>
<c:userShapes xmlns:c="http://schemas.openxmlformats.org/drawingml/2006/chart">
  <cdr:relSizeAnchor xmlns:cdr="http://schemas.openxmlformats.org/drawingml/2006/chartDrawing">
    <cdr:from>
      <cdr:x>0.18944</cdr:x>
      <cdr:y>0.94305</cdr:y>
    </cdr:from>
    <cdr:to>
      <cdr:x>0.98035</cdr:x>
      <cdr:y>0.98782</cdr:y>
    </cdr:to>
    <cdr:sp macro="" textlink="">
      <cdr:nvSpPr>
        <cdr:cNvPr id="559105" name="Rectangle 1"/>
        <cdr:cNvSpPr>
          <a:spLocks xmlns:a="http://schemas.openxmlformats.org/drawingml/2006/main" noChangeArrowheads="1"/>
        </cdr:cNvSpPr>
      </cdr:nvSpPr>
      <cdr:spPr bwMode="auto">
        <a:xfrm xmlns:a="http://schemas.openxmlformats.org/drawingml/2006/main" flipV="1">
          <a:off x="1068912" y="2586388"/>
          <a:ext cx="4462796" cy="1227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AU"/>
        </a:p>
      </cdr:txBody>
    </cdr:sp>
  </cdr:relSizeAnchor>
</c:userShapes>
</file>

<file path=word/drawings/drawing5.xml><?xml version="1.0" encoding="utf-8"?>
<c:userShapes xmlns:c="http://schemas.openxmlformats.org/drawingml/2006/chart">
  <cdr:relSizeAnchor xmlns:cdr="http://schemas.openxmlformats.org/drawingml/2006/chartDrawing">
    <cdr:from>
      <cdr:x>0.21117</cdr:x>
      <cdr:y>0.92744</cdr:y>
    </cdr:from>
    <cdr:to>
      <cdr:x>0.91545</cdr:x>
      <cdr:y>0.98661</cdr:y>
    </cdr:to>
    <cdr:sp macro="" textlink="">
      <cdr:nvSpPr>
        <cdr:cNvPr id="2" name="Rectangle 1">
          <a:extLst xmlns:a="http://schemas.openxmlformats.org/drawingml/2006/main">
            <a:ext uri="{FF2B5EF4-FFF2-40B4-BE49-F238E27FC236}">
              <a16:creationId xmlns:a16="http://schemas.microsoft.com/office/drawing/2014/main" id="{EB2B9781-9CFA-47C4-A61B-2DD9FEFECED5}"/>
            </a:ext>
          </a:extLst>
        </cdr:cNvPr>
        <cdr:cNvSpPr/>
      </cdr:nvSpPr>
      <cdr:spPr>
        <a:xfrm xmlns:a="http://schemas.openxmlformats.org/drawingml/2006/main">
          <a:off x="1273597" y="2639552"/>
          <a:ext cx="4247675" cy="168418"/>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userShapes>
</file>

<file path=word/drawings/drawing6.xml><?xml version="1.0" encoding="utf-8"?>
<c:userShapes xmlns:c="http://schemas.openxmlformats.org/drawingml/2006/chart">
  <cdr:relSizeAnchor xmlns:cdr="http://schemas.openxmlformats.org/drawingml/2006/chartDrawing">
    <cdr:from>
      <cdr:x>0.21184</cdr:x>
      <cdr:y>0.93558</cdr:y>
    </cdr:from>
    <cdr:to>
      <cdr:x>0.92597</cdr:x>
      <cdr:y>0.98608</cdr:y>
    </cdr:to>
    <cdr:sp macro="" textlink="">
      <cdr:nvSpPr>
        <cdr:cNvPr id="2" name="Rectangle 1">
          <a:extLst xmlns:a="http://schemas.openxmlformats.org/drawingml/2006/main">
            <a:ext uri="{FF2B5EF4-FFF2-40B4-BE49-F238E27FC236}">
              <a16:creationId xmlns:a16="http://schemas.microsoft.com/office/drawing/2014/main" id="{0222A933-733E-46F0-9714-0149351AF04B}"/>
            </a:ext>
          </a:extLst>
        </cdr:cNvPr>
        <cdr:cNvSpPr/>
      </cdr:nvSpPr>
      <cdr:spPr>
        <a:xfrm xmlns:a="http://schemas.openxmlformats.org/drawingml/2006/main">
          <a:off x="1286796" y="3132667"/>
          <a:ext cx="4337918" cy="169074"/>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userShapes>
</file>

<file path=word/drawings/drawing7.xml><?xml version="1.0" encoding="utf-8"?>
<c:userShapes xmlns:c="http://schemas.openxmlformats.org/drawingml/2006/chart">
  <cdr:relSizeAnchor xmlns:cdr="http://schemas.openxmlformats.org/drawingml/2006/chartDrawing">
    <cdr:from>
      <cdr:x>0.16761</cdr:x>
      <cdr:y>0.93991</cdr:y>
    </cdr:from>
    <cdr:to>
      <cdr:x>0.88112</cdr:x>
      <cdr:y>0.97367</cdr:y>
    </cdr:to>
    <cdr:sp macro="" textlink="">
      <cdr:nvSpPr>
        <cdr:cNvPr id="2" name="Rectangle 1">
          <a:extLst xmlns:a="http://schemas.openxmlformats.org/drawingml/2006/main">
            <a:ext uri="{FF2B5EF4-FFF2-40B4-BE49-F238E27FC236}">
              <a16:creationId xmlns:a16="http://schemas.microsoft.com/office/drawing/2014/main" id="{0222A933-733E-46F0-9714-0149351AF04B}"/>
            </a:ext>
          </a:extLst>
        </cdr:cNvPr>
        <cdr:cNvSpPr/>
      </cdr:nvSpPr>
      <cdr:spPr>
        <a:xfrm xmlns:a="http://schemas.openxmlformats.org/drawingml/2006/main">
          <a:off x="1214967" y="3712634"/>
          <a:ext cx="5172075" cy="133350"/>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dr:relSizeAnchor xmlns:cdr="http://schemas.openxmlformats.org/drawingml/2006/chartDrawing">
    <cdr:from>
      <cdr:x>0.8492</cdr:x>
      <cdr:y>0.63392</cdr:y>
    </cdr:from>
    <cdr:to>
      <cdr:x>0.88759</cdr:x>
      <cdr:y>0.9169</cdr:y>
    </cdr:to>
    <cdr:sp macro="" textlink="">
      <cdr:nvSpPr>
        <cdr:cNvPr id="5" name="Rectangle 4">
          <a:extLst xmlns:a="http://schemas.openxmlformats.org/drawingml/2006/main">
            <a:ext uri="{FF2B5EF4-FFF2-40B4-BE49-F238E27FC236}">
              <a16:creationId xmlns:a16="http://schemas.microsoft.com/office/drawing/2014/main" id="{DF968E94-2175-33D8-8F19-C6384A97C3AC}"/>
            </a:ext>
          </a:extLst>
        </cdr:cNvPr>
        <cdr:cNvSpPr/>
      </cdr:nvSpPr>
      <cdr:spPr>
        <a:xfrm xmlns:a="http://schemas.openxmlformats.org/drawingml/2006/main">
          <a:off x="5165399" y="2001013"/>
          <a:ext cx="233514" cy="89326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0.84383</cdr:x>
      <cdr:y>0.62795</cdr:y>
    </cdr:from>
    <cdr:to>
      <cdr:x>0.91015</cdr:x>
      <cdr:y>0.95468</cdr:y>
    </cdr:to>
    <cdr:sp macro="" textlink="">
      <cdr:nvSpPr>
        <cdr:cNvPr id="3" name="TextBox 2">
          <a:extLst xmlns:a="http://schemas.openxmlformats.org/drawingml/2006/main">
            <a:ext uri="{FF2B5EF4-FFF2-40B4-BE49-F238E27FC236}">
              <a16:creationId xmlns:a16="http://schemas.microsoft.com/office/drawing/2014/main" id="{00C6CD06-BD57-9DE1-AE46-3BEA0F4C5920}"/>
            </a:ext>
          </a:extLst>
        </cdr:cNvPr>
        <cdr:cNvSpPr txBox="1"/>
      </cdr:nvSpPr>
      <cdr:spPr>
        <a:xfrm xmlns:a="http://schemas.openxmlformats.org/drawingml/2006/main">
          <a:off x="5132735" y="1982178"/>
          <a:ext cx="403403" cy="1031351"/>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pPr>
            <a:spcBef>
              <a:spcPts val="0"/>
            </a:spcBef>
            <a:spcAft>
              <a:spcPts val="300"/>
            </a:spcAft>
          </a:pPr>
          <a:r>
            <a:rPr lang="en-AU" sz="800">
              <a:latin typeface="Arial" panose="020B0604020202020204" pitchFamily="34" charset="0"/>
              <a:cs typeface="Arial" panose="020B0604020202020204" pitchFamily="34" charset="0"/>
            </a:rPr>
            <a:t>n.p.</a:t>
          </a:r>
        </a:p>
        <a:p xmlns:a="http://schemas.openxmlformats.org/drawingml/2006/main">
          <a:pPr>
            <a:spcBef>
              <a:spcPts val="0"/>
            </a:spcBef>
            <a:spcAft>
              <a:spcPts val="300"/>
            </a:spcAft>
          </a:pPr>
          <a:r>
            <a:rPr lang="en-AU" sz="800">
              <a:latin typeface="Arial" panose="020B0604020202020204" pitchFamily="34" charset="0"/>
              <a:cs typeface="Arial" panose="020B0604020202020204" pitchFamily="34" charset="0"/>
            </a:rPr>
            <a:t>7.4</a:t>
          </a:r>
        </a:p>
        <a:p xmlns:a="http://schemas.openxmlformats.org/drawingml/2006/main">
          <a:pPr>
            <a:spcBef>
              <a:spcPts val="0"/>
            </a:spcBef>
            <a:spcAft>
              <a:spcPts val="300"/>
            </a:spcAft>
          </a:pPr>
          <a:r>
            <a:rPr lang="en-AU" sz="800">
              <a:latin typeface="Arial" panose="020B0604020202020204" pitchFamily="34" charset="0"/>
              <a:cs typeface="Arial" panose="020B0604020202020204" pitchFamily="34" charset="0"/>
            </a:rPr>
            <a:t>n.p.</a:t>
          </a:r>
        </a:p>
        <a:p xmlns:a="http://schemas.openxmlformats.org/drawingml/2006/main">
          <a:pPr>
            <a:spcBef>
              <a:spcPts val="0"/>
            </a:spcBef>
            <a:spcAft>
              <a:spcPts val="300"/>
            </a:spcAft>
          </a:pPr>
          <a:r>
            <a:rPr lang="en-AU" sz="800">
              <a:latin typeface="Arial" panose="020B0604020202020204" pitchFamily="34" charset="0"/>
              <a:cs typeface="Arial" panose="020B0604020202020204" pitchFamily="34" charset="0"/>
            </a:rPr>
            <a:t>8.9</a:t>
          </a:r>
        </a:p>
        <a:p xmlns:a="http://schemas.openxmlformats.org/drawingml/2006/main">
          <a:pPr>
            <a:spcBef>
              <a:spcPts val="0"/>
            </a:spcBef>
            <a:spcAft>
              <a:spcPts val="300"/>
            </a:spcAft>
          </a:pPr>
          <a:r>
            <a:rPr lang="en-AU" sz="800">
              <a:latin typeface="Arial" panose="020B0604020202020204" pitchFamily="34" charset="0"/>
              <a:cs typeface="Arial" panose="020B0604020202020204" pitchFamily="34" charset="0"/>
            </a:rPr>
            <a:t>6.6</a:t>
          </a:r>
        </a:p>
        <a:p xmlns:a="http://schemas.openxmlformats.org/drawingml/2006/main">
          <a:pPr>
            <a:spcBef>
              <a:spcPts val="0"/>
            </a:spcBef>
            <a:spcAft>
              <a:spcPts val="300"/>
            </a:spcAft>
          </a:pPr>
          <a:r>
            <a:rPr lang="en-AU" sz="800">
              <a:latin typeface="Arial" panose="020B0604020202020204" pitchFamily="34" charset="0"/>
              <a:cs typeface="Arial" panose="020B0604020202020204" pitchFamily="34" charset="0"/>
            </a:rPr>
            <a:t>n.p.</a:t>
          </a:r>
        </a:p>
      </cdr:txBody>
    </cdr:sp>
  </cdr:relSizeAnchor>
</c:userShapes>
</file>

<file path=word/drawings/drawing8.xml><?xml version="1.0" encoding="utf-8"?>
<c:userShapes xmlns:c="http://schemas.openxmlformats.org/drawingml/2006/chart">
  <cdr:relSizeAnchor xmlns:cdr="http://schemas.openxmlformats.org/drawingml/2006/chartDrawing">
    <cdr:from>
      <cdr:x>0.21655</cdr:x>
      <cdr:y>0.93382</cdr:y>
    </cdr:from>
    <cdr:to>
      <cdr:x>0.92584</cdr:x>
      <cdr:y>0.96798</cdr:y>
    </cdr:to>
    <cdr:sp macro="" textlink="">
      <cdr:nvSpPr>
        <cdr:cNvPr id="2" name="Rectangle 1">
          <a:extLst xmlns:a="http://schemas.openxmlformats.org/drawingml/2006/main">
            <a:ext uri="{FF2B5EF4-FFF2-40B4-BE49-F238E27FC236}">
              <a16:creationId xmlns:a16="http://schemas.microsoft.com/office/drawing/2014/main" id="{0222A933-733E-46F0-9714-0149351AF04B}"/>
            </a:ext>
          </a:extLst>
        </cdr:cNvPr>
        <cdr:cNvSpPr/>
      </cdr:nvSpPr>
      <cdr:spPr>
        <a:xfrm xmlns:a="http://schemas.openxmlformats.org/drawingml/2006/main">
          <a:off x="1214209" y="2966074"/>
          <a:ext cx="3977024" cy="108502"/>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dr:relSizeAnchor xmlns:cdr="http://schemas.openxmlformats.org/drawingml/2006/chartDrawing">
    <cdr:from>
      <cdr:x>0.85451</cdr:x>
      <cdr:y>0.63024</cdr:y>
    </cdr:from>
    <cdr:to>
      <cdr:x>0.88606</cdr:x>
      <cdr:y>0.92123</cdr:y>
    </cdr:to>
    <cdr:sp macro="" textlink="">
      <cdr:nvSpPr>
        <cdr:cNvPr id="5" name="Rectangle 4">
          <a:extLst xmlns:a="http://schemas.openxmlformats.org/drawingml/2006/main">
            <a:ext uri="{FF2B5EF4-FFF2-40B4-BE49-F238E27FC236}">
              <a16:creationId xmlns:a16="http://schemas.microsoft.com/office/drawing/2014/main" id="{2EF90AED-E942-7023-032F-6EA86EDC5E3D}"/>
            </a:ext>
          </a:extLst>
        </cdr:cNvPr>
        <cdr:cNvSpPr/>
      </cdr:nvSpPr>
      <cdr:spPr>
        <a:xfrm xmlns:a="http://schemas.openxmlformats.org/drawingml/2006/main">
          <a:off x="5190644" y="2001820"/>
          <a:ext cx="191648" cy="92425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0.84139</cdr:x>
      <cdr:y>0.62901</cdr:y>
    </cdr:from>
    <cdr:to>
      <cdr:x>0.90406</cdr:x>
      <cdr:y>0.87268</cdr:y>
    </cdr:to>
    <cdr:sp macro="" textlink="">
      <cdr:nvSpPr>
        <cdr:cNvPr id="3" name="TextBox 1">
          <a:extLst xmlns:a="http://schemas.openxmlformats.org/drawingml/2006/main">
            <a:ext uri="{FF2B5EF4-FFF2-40B4-BE49-F238E27FC236}">
              <a16:creationId xmlns:a16="http://schemas.microsoft.com/office/drawing/2014/main" id="{BDA09B11-EF81-F1D2-F226-A29593DD7A62}"/>
            </a:ext>
          </a:extLst>
        </cdr:cNvPr>
        <cdr:cNvSpPr txBox="1"/>
      </cdr:nvSpPr>
      <cdr:spPr>
        <a:xfrm xmlns:a="http://schemas.openxmlformats.org/drawingml/2006/main">
          <a:off x="5110938" y="1997914"/>
          <a:ext cx="380684" cy="773962"/>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300"/>
            </a:spcAft>
          </a:pPr>
          <a:r>
            <a:rPr lang="en-AU" sz="800">
              <a:latin typeface="Arial" panose="020B0604020202020204" pitchFamily="34" charset="0"/>
              <a:cs typeface="Arial" panose="020B0604020202020204" pitchFamily="34" charset="0"/>
            </a:rPr>
            <a:t>n.p.</a:t>
          </a:r>
        </a:p>
        <a:p xmlns:a="http://schemas.openxmlformats.org/drawingml/2006/main">
          <a:pPr>
            <a:spcAft>
              <a:spcPts val="300"/>
            </a:spcAft>
          </a:pPr>
          <a:r>
            <a:rPr lang="en-AU" sz="800">
              <a:latin typeface="Arial" panose="020B0604020202020204" pitchFamily="34" charset="0"/>
              <a:cs typeface="Arial" panose="020B0604020202020204" pitchFamily="34" charset="0"/>
            </a:rPr>
            <a:t>n.p.</a:t>
          </a:r>
        </a:p>
        <a:p xmlns:a="http://schemas.openxmlformats.org/drawingml/2006/main">
          <a:pPr>
            <a:spcAft>
              <a:spcPts val="300"/>
            </a:spcAft>
          </a:pPr>
          <a:r>
            <a:rPr lang="en-AU" sz="800">
              <a:latin typeface="Arial" panose="020B0604020202020204" pitchFamily="34" charset="0"/>
              <a:cs typeface="Arial" panose="020B0604020202020204" pitchFamily="34" charset="0"/>
            </a:rPr>
            <a:t>n.p.</a:t>
          </a:r>
        </a:p>
        <a:p xmlns:a="http://schemas.openxmlformats.org/drawingml/2006/main">
          <a:pPr>
            <a:spcAft>
              <a:spcPts val="300"/>
            </a:spcAft>
          </a:pPr>
          <a:r>
            <a:rPr lang="en-AU" sz="800">
              <a:latin typeface="Arial" panose="020B0604020202020204" pitchFamily="34" charset="0"/>
              <a:cs typeface="Arial" panose="020B0604020202020204" pitchFamily="34" charset="0"/>
            </a:rPr>
            <a:t>n.p.</a:t>
          </a:r>
        </a:p>
        <a:p xmlns:a="http://schemas.openxmlformats.org/drawingml/2006/main">
          <a:pPr>
            <a:spcAft>
              <a:spcPts val="300"/>
            </a:spcAft>
          </a:pPr>
          <a:r>
            <a:rPr lang="en-AU" sz="800">
              <a:latin typeface="Arial" panose="020B0604020202020204" pitchFamily="34" charset="0"/>
              <a:cs typeface="Arial" panose="020B0604020202020204" pitchFamily="34" charset="0"/>
            </a:rPr>
            <a:t>6.6</a:t>
          </a:r>
        </a:p>
        <a:p xmlns:a="http://schemas.openxmlformats.org/drawingml/2006/main">
          <a:pPr>
            <a:spcAft>
              <a:spcPts val="300"/>
            </a:spcAft>
          </a:pPr>
          <a:r>
            <a:rPr lang="en-AU" sz="800">
              <a:latin typeface="Arial" panose="020B0604020202020204" pitchFamily="34" charset="0"/>
              <a:cs typeface="Arial" panose="020B0604020202020204" pitchFamily="34" charset="0"/>
            </a:rPr>
            <a:t>n.p.</a:t>
          </a:r>
        </a:p>
        <a:p xmlns:a="http://schemas.openxmlformats.org/drawingml/2006/main">
          <a:endParaRPr lang="en-AU" sz="900"/>
        </a:p>
      </cdr:txBody>
    </cdr:sp>
  </cdr:relSizeAnchor>
</c:userShapes>
</file>

<file path=word/drawings/drawing9.xml><?xml version="1.0" encoding="utf-8"?>
<c:userShapes xmlns:c="http://schemas.openxmlformats.org/drawingml/2006/chart">
  <cdr:relSizeAnchor xmlns:cdr="http://schemas.openxmlformats.org/drawingml/2006/chartDrawing">
    <cdr:from>
      <cdr:x>0.21008</cdr:x>
      <cdr:y>0.92675</cdr:y>
    </cdr:from>
    <cdr:to>
      <cdr:x>0.94451</cdr:x>
      <cdr:y>0.984</cdr:y>
    </cdr:to>
    <cdr:sp macro="" textlink="">
      <cdr:nvSpPr>
        <cdr:cNvPr id="2" name="Rectangle 1">
          <a:extLst xmlns:a="http://schemas.openxmlformats.org/drawingml/2006/main">
            <a:ext uri="{FF2B5EF4-FFF2-40B4-BE49-F238E27FC236}">
              <a16:creationId xmlns:a16="http://schemas.microsoft.com/office/drawing/2014/main" id="{765CAB3C-5D52-42F8-BCCA-9705D8446358}"/>
            </a:ext>
          </a:extLst>
        </cdr:cNvPr>
        <cdr:cNvSpPr/>
      </cdr:nvSpPr>
      <cdr:spPr>
        <a:xfrm xmlns:a="http://schemas.openxmlformats.org/drawingml/2006/main">
          <a:off x="1237938" y="2777066"/>
          <a:ext cx="4327850" cy="171562"/>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6BCF-4239-46FD-91D9-B36E56C5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6708</Words>
  <Characters>38241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2023-12-04T03:24:00Z</dcterms:created>
  <dcterms:modified xsi:type="dcterms:W3CDTF">2023-12-13T23:24:00Z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2022-06-22T04:02:25Z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502c8f1f-9759-4159-a031-b1a6cfe11b54</vt:lpwstr>
  </property>
  <property fmtid="{D5CDD505-2E9C-101B-9397-08002B2CF9AE}" pid="8" name="MSIP_Label_79d889eb-932f-4752-8739-64d25806ef64_ContentBits">
    <vt:lpwstr>0</vt:lpwstr>
  </property>
</Properties>
</file>