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BE8F1" w14:textId="47E324D3" w:rsidR="002B58DF" w:rsidRDefault="00210F65">
      <w:pPr>
        <w:spacing w:before="0" w:after="200" w:line="276" w:lineRule="auto"/>
        <w:jc w:val="left"/>
        <w:rPr>
          <w:noProof/>
        </w:rPr>
      </w:pPr>
      <w:r>
        <w:rPr>
          <w:noProof/>
        </w:rPr>
        <w:drawing>
          <wp:anchor distT="0" distB="0" distL="114300" distR="114300" simplePos="0" relativeHeight="251702272" behindDoc="1" locked="0" layoutInCell="1" allowOverlap="1" wp14:anchorId="70087BC8" wp14:editId="4587E10D">
            <wp:simplePos x="0" y="0"/>
            <wp:positionH relativeFrom="page">
              <wp:align>right</wp:align>
            </wp:positionH>
            <wp:positionV relativeFrom="paragraph">
              <wp:posOffset>-727710</wp:posOffset>
            </wp:positionV>
            <wp:extent cx="7545705" cy="10672445"/>
            <wp:effectExtent l="0" t="0" r="0" b="0"/>
            <wp:wrapTight wrapText="bothSides">
              <wp:wrapPolygon edited="0">
                <wp:start x="0" y="0"/>
                <wp:lineTo x="0" y="21552"/>
                <wp:lineTo x="21540" y="21552"/>
                <wp:lineTo x="21540" y="0"/>
                <wp:lineTo x="0" y="0"/>
              </wp:wrapPolygon>
            </wp:wrapTight>
            <wp:docPr id="1933497495" name="Picture 1" descr="A white cov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7495" name="Picture 1" descr="A white cover with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45705" cy="10672445"/>
                    </a:xfrm>
                    <a:prstGeom prst="rect">
                      <a:avLst/>
                    </a:prstGeom>
                  </pic:spPr>
                </pic:pic>
              </a:graphicData>
            </a:graphic>
            <wp14:sizeRelH relativeFrom="margin">
              <wp14:pctWidth>0</wp14:pctWidth>
            </wp14:sizeRelH>
            <wp14:sizeRelV relativeFrom="margin">
              <wp14:pctHeight>0</wp14:pctHeight>
            </wp14:sizeRelV>
          </wp:anchor>
        </w:drawing>
      </w:r>
      <w:r w:rsidR="002B58DF">
        <w:rPr>
          <w:noProof/>
        </w:rPr>
        <w:br w:type="page"/>
      </w:r>
    </w:p>
    <w:p w14:paraId="2B693CB8" w14:textId="450B5FA3" w:rsidR="00CF1326" w:rsidRDefault="00CF1326">
      <w:pPr>
        <w:spacing w:before="0" w:after="200" w:line="276" w:lineRule="auto"/>
        <w:jc w:val="left"/>
        <w:rPr>
          <w:rFonts w:eastAsiaTheme="majorEastAsia" w:cstheme="majorBidi"/>
          <w:b/>
          <w:color w:val="AF1E2D"/>
          <w:spacing w:val="-3"/>
          <w:sz w:val="14"/>
          <w:szCs w:val="14"/>
          <w:lang w:eastAsia="en-US"/>
        </w:rPr>
      </w:pPr>
    </w:p>
    <w:p w14:paraId="5B9B2824" w14:textId="77777777" w:rsidR="00E02CBC" w:rsidRPr="001D7C48" w:rsidRDefault="00E02CBC" w:rsidP="00E02CBC">
      <w:pPr>
        <w:pStyle w:val="SWADisclaimerheading"/>
      </w:pPr>
      <w:r w:rsidRPr="001D7C48">
        <w:t>Disclaimer</w:t>
      </w:r>
    </w:p>
    <w:p w14:paraId="6A5FCBB6" w14:textId="77777777" w:rsidR="00E02CBC" w:rsidRDefault="00E02CBC" w:rsidP="00E02CBC">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7816EEC3" w14:textId="77777777" w:rsidR="00E02CBC" w:rsidRDefault="00E02CBC" w:rsidP="00E02CBC">
      <w:pPr>
        <w:pStyle w:val="SWADisclaimerbodytext"/>
      </w:pPr>
      <w:r>
        <w:t xml:space="preserve">Safe Work Australia works with the Commonwealth, </w:t>
      </w:r>
      <w:proofErr w:type="gramStart"/>
      <w:r>
        <w:t>state</w:t>
      </w:r>
      <w:proofErr w:type="gramEnd"/>
      <w: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22D2B364" w14:textId="77777777" w:rsidR="00E02CBC" w:rsidRPr="00077D9A" w:rsidRDefault="00E02CBC" w:rsidP="00E02CBC">
      <w:pPr>
        <w:autoSpaceDE w:val="0"/>
        <w:autoSpaceDN w:val="0"/>
        <w:rPr>
          <w:b/>
          <w:bCs/>
          <w:color w:val="000000"/>
          <w:sz w:val="14"/>
          <w:szCs w:val="14"/>
          <w:lang w:eastAsia="ko-KR"/>
        </w:rPr>
      </w:pPr>
      <w:r w:rsidRPr="00077D9A">
        <w:rPr>
          <w:b/>
          <w:bCs/>
          <w:color w:val="000000"/>
          <w:sz w:val="14"/>
          <w:szCs w:val="14"/>
          <w:lang w:eastAsia="ko-KR"/>
        </w:rPr>
        <w:t>ISSN 2209-9158</w:t>
      </w:r>
    </w:p>
    <w:p w14:paraId="0838C33F" w14:textId="77777777" w:rsidR="00E02CBC" w:rsidRPr="008530EB" w:rsidRDefault="00E02CBC" w:rsidP="00E02CBC">
      <w:pPr>
        <w:pStyle w:val="SWADisclaimerheading"/>
      </w:pPr>
      <w:r>
        <w:t>Creative Commons</w:t>
      </w:r>
    </w:p>
    <w:p w14:paraId="04A6F90B" w14:textId="77777777" w:rsidR="00E02CBC" w:rsidRPr="00A034C4" w:rsidRDefault="00E02CBC" w:rsidP="00E02CBC">
      <w:pPr>
        <w:pStyle w:val="SWADisclaimerheading"/>
        <w:rPr>
          <w:rFonts w:eastAsia="Times New Roman" w:cs="Times New Roman"/>
          <w:b w:val="0"/>
          <w:color w:val="auto"/>
          <w:spacing w:val="0"/>
          <w:lang w:eastAsia="en-AU"/>
        </w:rPr>
      </w:pPr>
      <w:proofErr w:type="gramStart"/>
      <w:r w:rsidRPr="003770DC">
        <w:rPr>
          <w:rFonts w:eastAsia="Times New Roman" w:cs="Times New Roman"/>
          <w:b w:val="0"/>
          <w:color w:val="auto"/>
          <w:spacing w:val="0"/>
          <w:lang w:eastAsia="en-AU"/>
        </w:rPr>
        <w:t>With the exception of</w:t>
      </w:r>
      <w:proofErr w:type="gramEnd"/>
      <w:r w:rsidRPr="003770DC">
        <w:rPr>
          <w:rFonts w:eastAsia="Times New Roman" w:cs="Times New Roman"/>
          <w:b w:val="0"/>
          <w:color w:val="auto"/>
          <w:spacing w:val="0"/>
          <w:lang w:eastAsia="en-AU"/>
        </w:rPr>
        <w:t xml:space="preserve">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w:t>
      </w:r>
      <w:proofErr w:type="gramStart"/>
      <w:r w:rsidRPr="003770DC">
        <w:rPr>
          <w:rFonts w:eastAsia="Times New Roman" w:cs="Times New Roman"/>
          <w:b w:val="0"/>
          <w:color w:val="auto"/>
          <w:spacing w:val="0"/>
          <w:lang w:eastAsia="en-AU"/>
        </w:rPr>
        <w:t>as long as</w:t>
      </w:r>
      <w:proofErr w:type="gramEnd"/>
      <w:r w:rsidRPr="003770DC">
        <w:rPr>
          <w:rFonts w:eastAsia="Times New Roman" w:cs="Times New Roman"/>
          <w:b w:val="0"/>
          <w:color w:val="auto"/>
          <w:spacing w:val="0"/>
          <w:lang w:eastAsia="en-AU"/>
        </w:rPr>
        <w:t xml:space="preserve"> you attribute the work to Safe Work Australia and abide by the other licence terms.</w:t>
      </w:r>
    </w:p>
    <w:p w14:paraId="14ACD478" w14:textId="77777777" w:rsidR="00E02CBC" w:rsidRPr="00A034C4" w:rsidRDefault="00E02CBC" w:rsidP="00E02CBC">
      <w:pPr>
        <w:pStyle w:val="SWADisclaimerheading"/>
        <w:rPr>
          <w:color w:val="145B85"/>
        </w:rPr>
      </w:pPr>
      <w:r>
        <w:t>Contact information</w:t>
      </w:r>
    </w:p>
    <w:p w14:paraId="455FBF48" w14:textId="2365CFAF" w:rsidR="0045021D" w:rsidRDefault="00E02CBC" w:rsidP="00E02CBC">
      <w:pPr>
        <w:pStyle w:val="SWADisclaimerheading"/>
        <w:rPr>
          <w:rStyle w:val="Hyperlink"/>
          <w:rFonts w:eastAsia="Times New Roman" w:cs="Times New Roman"/>
          <w:b w:val="0"/>
          <w:spacing w:val="0"/>
          <w:lang w:eastAsia="en-AU"/>
        </w:rPr>
      </w:pPr>
      <w:r w:rsidRPr="00A034C4">
        <w:rPr>
          <w:rFonts w:eastAsia="Times New Roman" w:cs="Times New Roman"/>
          <w:b w:val="0"/>
          <w:color w:val="auto"/>
          <w:spacing w:val="0"/>
          <w:lang w:eastAsia="en-AU"/>
        </w:rPr>
        <w:t xml:space="preserve">Safe Work Australia | </w:t>
      </w:r>
      <w:hyperlink r:id="rId9"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0" w:history="1">
        <w:r w:rsidRPr="00A034C4">
          <w:rPr>
            <w:rStyle w:val="Hyperlink"/>
            <w:rFonts w:eastAsia="Times New Roman" w:cs="Times New Roman"/>
            <w:b w:val="0"/>
            <w:spacing w:val="0"/>
            <w:lang w:eastAsia="en-AU"/>
          </w:rPr>
          <w:t>www.swa.gov.au</w:t>
        </w:r>
      </w:hyperlink>
    </w:p>
    <w:p w14:paraId="6706DA44" w14:textId="77777777" w:rsidR="00990613" w:rsidRDefault="00990613" w:rsidP="003F189B">
      <w:pPr>
        <w:pStyle w:val="TOCHeading"/>
        <w:spacing w:after="200"/>
        <w:rPr>
          <w:rStyle w:val="Hyperlink"/>
          <w:rFonts w:eastAsia="Times New Roman" w:cs="Times New Roman"/>
          <w:b w:val="0"/>
          <w:lang w:eastAsia="en-AU"/>
        </w:rPr>
        <w:sectPr w:rsidR="00990613" w:rsidSect="00E02CBC">
          <w:footerReference w:type="default" r:id="rId11"/>
          <w:pgSz w:w="11906" w:h="16838" w:code="9"/>
          <w:pgMar w:top="992" w:right="1797" w:bottom="1440" w:left="1276" w:header="709" w:footer="709" w:gutter="0"/>
          <w:cols w:space="242"/>
          <w:vAlign w:val="bottom"/>
          <w:titlePg/>
          <w:docGrid w:linePitch="360"/>
        </w:sectPr>
      </w:pPr>
    </w:p>
    <w:p w14:paraId="7AC9917D" w14:textId="0CF05AD1" w:rsidR="003F189B" w:rsidRDefault="003F189B" w:rsidP="003F189B">
      <w:pPr>
        <w:pStyle w:val="TOCHeading"/>
        <w:spacing w:after="200"/>
      </w:pPr>
      <w:r w:rsidRPr="00CB201F">
        <w:lastRenderedPageBreak/>
        <w:t>Comparative Performance Monitoring (CPM</w:t>
      </w:r>
      <w:r>
        <w:t>) 2</w:t>
      </w:r>
      <w:r w:rsidR="003E0DEF">
        <w:t>5</w:t>
      </w:r>
      <w:r w:rsidRPr="00F751E4">
        <w:rPr>
          <w:vertAlign w:val="superscript"/>
        </w:rPr>
        <w:t>th</w:t>
      </w:r>
      <w:r>
        <w:t xml:space="preserve"> edition indicators</w:t>
      </w:r>
    </w:p>
    <w:p w14:paraId="1D250E94" w14:textId="460E7456" w:rsidR="00990613" w:rsidRDefault="00990613" w:rsidP="00990613">
      <w:pPr>
        <w:spacing w:before="0" w:after="20" w:line="276" w:lineRule="auto"/>
        <w:jc w:val="left"/>
      </w:pPr>
      <w:r>
        <w:t xml:space="preserve">The CPM comprises of 5 sections that measure Work Health and Safety and Workers’ Compensation performance. The bolded indicators are included in this section. </w:t>
      </w:r>
    </w:p>
    <w:p w14:paraId="31ACF9A4" w14:textId="77777777" w:rsidR="00990613" w:rsidRDefault="00990613" w:rsidP="00990613">
      <w:pPr>
        <w:spacing w:before="0" w:after="20" w:line="276" w:lineRule="auto"/>
        <w:jc w:val="left"/>
        <w:rPr>
          <w:b/>
          <w:bCs/>
        </w:rPr>
      </w:pPr>
    </w:p>
    <w:p w14:paraId="53F1D30E" w14:textId="77777777" w:rsidR="00990613" w:rsidRPr="00846E39" w:rsidRDefault="00990613" w:rsidP="00990613">
      <w:pPr>
        <w:spacing w:before="0" w:after="20" w:line="276" w:lineRule="auto"/>
        <w:jc w:val="left"/>
        <w:rPr>
          <w:b/>
          <w:bCs/>
        </w:rPr>
      </w:pPr>
      <w:r w:rsidRPr="00846E39">
        <w:rPr>
          <w:b/>
          <w:bCs/>
        </w:rPr>
        <w:t xml:space="preserve">Work </w:t>
      </w:r>
      <w:r>
        <w:rPr>
          <w:b/>
          <w:bCs/>
        </w:rPr>
        <w:t>H</w:t>
      </w:r>
      <w:r w:rsidRPr="00846E39">
        <w:rPr>
          <w:b/>
          <w:bCs/>
        </w:rPr>
        <w:t xml:space="preserve">ealth and </w:t>
      </w:r>
      <w:r>
        <w:rPr>
          <w:b/>
          <w:bCs/>
        </w:rPr>
        <w:t>S</w:t>
      </w:r>
      <w:r w:rsidRPr="00846E39">
        <w:rPr>
          <w:b/>
          <w:bCs/>
        </w:rPr>
        <w:t xml:space="preserve">afety </w:t>
      </w:r>
      <w:r>
        <w:rPr>
          <w:b/>
          <w:bCs/>
        </w:rPr>
        <w:t xml:space="preserve">Performance </w:t>
      </w:r>
    </w:p>
    <w:p w14:paraId="7F3AAF0D"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Incidence rates of serious injury and disease claims by jurisdiction</w:t>
      </w:r>
      <w:r>
        <w:tab/>
      </w:r>
    </w:p>
    <w:p w14:paraId="095A864E"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Frequency rates of serious injury claims by jurisdiction</w:t>
      </w:r>
      <w:r>
        <w:tab/>
      </w:r>
    </w:p>
    <w:p w14:paraId="70DF061F"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Incidence rates of long term (12 weeks or more compensation) injury and disease claims by jurisdiction</w:t>
      </w:r>
      <w:r>
        <w:tab/>
      </w:r>
    </w:p>
    <w:p w14:paraId="36FABE69"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Frequency rates of long term (12 weeks or more compensation) injury and disease claims by jurisdiction</w:t>
      </w:r>
    </w:p>
    <w:p w14:paraId="4C679264"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Self-insured claims: number and proportion of serious claims by jurisdiction</w:t>
      </w:r>
      <w:r>
        <w:tab/>
      </w:r>
    </w:p>
    <w:p w14:paraId="3C67F4C6"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 xml:space="preserve">Serious claims: Percentage involving selected periods of </w:t>
      </w:r>
      <w:proofErr w:type="gramStart"/>
      <w:r>
        <w:t>compensation</w:t>
      </w:r>
      <w:proofErr w:type="gramEnd"/>
    </w:p>
    <w:p w14:paraId="7B261FBA"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Traumatic injury worker fatalities: number and rate of incidents not on a public road, by state of death</w:t>
      </w:r>
      <w:r>
        <w:tab/>
      </w:r>
    </w:p>
    <w:p w14:paraId="009C0D92"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 xml:space="preserve">Compensated fatalities involving occupational diseases by </w:t>
      </w:r>
      <w:proofErr w:type="gramStart"/>
      <w:r>
        <w:t>jurisdiction</w:t>
      </w:r>
      <w:proofErr w:type="gramEnd"/>
      <w:r>
        <w:tab/>
      </w:r>
    </w:p>
    <w:p w14:paraId="7DC15C33"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Proportion of serious claims by mechanism of incident</w:t>
      </w:r>
    </w:p>
    <w:p w14:paraId="7DFAF946" w14:textId="77777777" w:rsidR="00990613" w:rsidRDefault="00990613" w:rsidP="00990613">
      <w:pPr>
        <w:pStyle w:val="ListParagraph"/>
        <w:numPr>
          <w:ilvl w:val="0"/>
          <w:numId w:val="32"/>
        </w:numPr>
        <w:overflowPunct/>
        <w:autoSpaceDE/>
        <w:autoSpaceDN/>
        <w:adjustRightInd/>
        <w:spacing w:before="0" w:after="20" w:line="276" w:lineRule="auto"/>
        <w:contextualSpacing/>
        <w:jc w:val="left"/>
        <w:textAlignment w:val="auto"/>
      </w:pPr>
      <w:r>
        <w:t>Incidence rates of serious claims by industry</w:t>
      </w:r>
    </w:p>
    <w:p w14:paraId="2039FBA0" w14:textId="77777777" w:rsidR="00990613" w:rsidRDefault="00990613" w:rsidP="00990613">
      <w:pPr>
        <w:spacing w:before="0" w:after="20" w:line="276" w:lineRule="auto"/>
        <w:jc w:val="left"/>
      </w:pPr>
      <w:r>
        <w:tab/>
      </w:r>
    </w:p>
    <w:p w14:paraId="6B76F314" w14:textId="77777777" w:rsidR="00990613" w:rsidRPr="00EC45EC" w:rsidRDefault="00990613" w:rsidP="00990613">
      <w:pPr>
        <w:spacing w:before="0" w:after="20" w:line="276" w:lineRule="auto"/>
        <w:jc w:val="left"/>
        <w:rPr>
          <w:b/>
          <w:bCs/>
        </w:rPr>
      </w:pPr>
      <w:r w:rsidRPr="00EC45EC">
        <w:rPr>
          <w:b/>
          <w:bCs/>
        </w:rPr>
        <w:t>Work Health and Safety Compliance and Enforcement Activities</w:t>
      </w:r>
    </w:p>
    <w:p w14:paraId="4D582AD2" w14:textId="77777777" w:rsidR="00990613" w:rsidRPr="00F96EFE" w:rsidRDefault="00990613" w:rsidP="00990613">
      <w:pPr>
        <w:pStyle w:val="ListParagraph"/>
        <w:numPr>
          <w:ilvl w:val="0"/>
          <w:numId w:val="33"/>
        </w:numPr>
        <w:overflowPunct/>
        <w:autoSpaceDE/>
        <w:autoSpaceDN/>
        <w:adjustRightInd/>
        <w:spacing w:before="0" w:after="20" w:line="276" w:lineRule="auto"/>
        <w:contextualSpacing/>
        <w:jc w:val="left"/>
        <w:textAlignment w:val="auto"/>
      </w:pPr>
      <w:r w:rsidRPr="00F96EFE">
        <w:t>Work health and safety intervention activity by jurisdiction</w:t>
      </w:r>
      <w:r w:rsidRPr="00F96EFE">
        <w:tab/>
      </w:r>
    </w:p>
    <w:p w14:paraId="4A6F8B23" w14:textId="77777777" w:rsidR="00990613" w:rsidRPr="00F96EFE" w:rsidRDefault="00990613" w:rsidP="00990613">
      <w:pPr>
        <w:pStyle w:val="ListParagraph"/>
        <w:numPr>
          <w:ilvl w:val="0"/>
          <w:numId w:val="33"/>
        </w:numPr>
        <w:overflowPunct/>
        <w:autoSpaceDE/>
        <w:autoSpaceDN/>
        <w:adjustRightInd/>
        <w:spacing w:before="0" w:after="20" w:line="276" w:lineRule="auto"/>
        <w:contextualSpacing/>
        <w:jc w:val="left"/>
        <w:textAlignment w:val="auto"/>
      </w:pPr>
      <w:r w:rsidRPr="00F96EFE">
        <w:t>Work health and safety inspectorate activity by jurisdiction</w:t>
      </w:r>
    </w:p>
    <w:p w14:paraId="3439972E" w14:textId="77777777" w:rsidR="00990613" w:rsidRPr="00F96EFE" w:rsidRDefault="00990613" w:rsidP="00990613">
      <w:pPr>
        <w:pStyle w:val="ListParagraph"/>
        <w:numPr>
          <w:ilvl w:val="0"/>
          <w:numId w:val="33"/>
        </w:numPr>
        <w:overflowPunct/>
        <w:autoSpaceDE/>
        <w:autoSpaceDN/>
        <w:adjustRightInd/>
        <w:spacing w:before="0" w:after="20" w:line="276" w:lineRule="auto"/>
        <w:contextualSpacing/>
        <w:jc w:val="left"/>
        <w:textAlignment w:val="auto"/>
      </w:pPr>
      <w:r w:rsidRPr="00F96EFE">
        <w:t xml:space="preserve">Work health and safety notices and enforceable undertakings by jurisdiction </w:t>
      </w:r>
    </w:p>
    <w:p w14:paraId="206994E8" w14:textId="77777777" w:rsidR="00990613" w:rsidRPr="00F96EFE" w:rsidRDefault="00990613" w:rsidP="00990613">
      <w:pPr>
        <w:pStyle w:val="ListParagraph"/>
        <w:numPr>
          <w:ilvl w:val="0"/>
          <w:numId w:val="33"/>
        </w:numPr>
        <w:overflowPunct/>
        <w:autoSpaceDE/>
        <w:autoSpaceDN/>
        <w:adjustRightInd/>
        <w:spacing w:before="0" w:after="20" w:line="276" w:lineRule="auto"/>
        <w:contextualSpacing/>
        <w:jc w:val="left"/>
        <w:textAlignment w:val="auto"/>
      </w:pPr>
      <w:r w:rsidRPr="00F96EFE">
        <w:t>Work health and safety legal proceedings and fines by jurisdiction</w:t>
      </w:r>
    </w:p>
    <w:p w14:paraId="0D824FEB" w14:textId="77777777" w:rsidR="00990613" w:rsidRDefault="00990613" w:rsidP="00990613">
      <w:pPr>
        <w:spacing w:before="0" w:after="20" w:line="276" w:lineRule="auto"/>
        <w:jc w:val="left"/>
      </w:pPr>
    </w:p>
    <w:p w14:paraId="5B40905C" w14:textId="77777777" w:rsidR="00990613" w:rsidRPr="00F10904" w:rsidRDefault="00990613" w:rsidP="00990613">
      <w:pPr>
        <w:spacing w:before="0" w:after="20" w:line="276" w:lineRule="auto"/>
        <w:jc w:val="left"/>
        <w:rPr>
          <w:b/>
          <w:bCs/>
          <w:noProof/>
        </w:rPr>
      </w:pPr>
      <w:r w:rsidRPr="00F10904">
        <w:rPr>
          <w:b/>
          <w:bCs/>
          <w:noProof/>
        </w:rPr>
        <w:t>Workers’ Compensation Premiums</w:t>
      </w:r>
    </w:p>
    <w:p w14:paraId="56EEF6C8" w14:textId="77777777" w:rsidR="00990613" w:rsidRPr="00990613" w:rsidRDefault="00990613" w:rsidP="00990613">
      <w:pPr>
        <w:pStyle w:val="ListParagraph"/>
        <w:numPr>
          <w:ilvl w:val="0"/>
          <w:numId w:val="34"/>
        </w:numPr>
        <w:overflowPunct/>
        <w:autoSpaceDE/>
        <w:autoSpaceDN/>
        <w:adjustRightInd/>
        <w:spacing w:before="0" w:after="20" w:line="276" w:lineRule="auto"/>
        <w:contextualSpacing/>
        <w:jc w:val="left"/>
        <w:textAlignment w:val="auto"/>
        <w:rPr>
          <w:b/>
          <w:bCs/>
          <w:noProof/>
        </w:rPr>
      </w:pPr>
      <w:r w:rsidRPr="00990613">
        <w:rPr>
          <w:b/>
          <w:bCs/>
          <w:noProof/>
        </w:rPr>
        <w:t>Standardised average premium rates (including insured and self-insured sectors) by jurisdiction</w:t>
      </w:r>
      <w:r w:rsidRPr="00990613">
        <w:rPr>
          <w:b/>
          <w:bCs/>
          <w:noProof/>
        </w:rPr>
        <w:tab/>
      </w:r>
    </w:p>
    <w:p w14:paraId="287E3CEF" w14:textId="77777777" w:rsidR="00990613" w:rsidRPr="00990613" w:rsidRDefault="00990613" w:rsidP="00990613">
      <w:pPr>
        <w:pStyle w:val="ListParagraph"/>
        <w:numPr>
          <w:ilvl w:val="0"/>
          <w:numId w:val="34"/>
        </w:numPr>
        <w:overflowPunct/>
        <w:autoSpaceDE/>
        <w:autoSpaceDN/>
        <w:adjustRightInd/>
        <w:spacing w:before="0" w:after="20" w:line="276" w:lineRule="auto"/>
        <w:contextualSpacing/>
        <w:jc w:val="left"/>
        <w:textAlignment w:val="auto"/>
        <w:rPr>
          <w:b/>
          <w:bCs/>
          <w:noProof/>
        </w:rPr>
      </w:pPr>
      <w:r w:rsidRPr="00990613">
        <w:rPr>
          <w:b/>
          <w:bCs/>
          <w:noProof/>
        </w:rPr>
        <w:t>Australian average premium rates by industry</w:t>
      </w:r>
      <w:r w:rsidRPr="00990613">
        <w:rPr>
          <w:b/>
          <w:bCs/>
          <w:noProof/>
        </w:rPr>
        <w:tab/>
      </w:r>
    </w:p>
    <w:p w14:paraId="0DF47458" w14:textId="77777777" w:rsidR="00990613" w:rsidRDefault="00990613" w:rsidP="00990613">
      <w:pPr>
        <w:spacing w:before="0" w:after="20" w:line="276" w:lineRule="auto"/>
        <w:jc w:val="left"/>
        <w:rPr>
          <w:noProof/>
        </w:rPr>
      </w:pPr>
    </w:p>
    <w:p w14:paraId="76200D70" w14:textId="77777777" w:rsidR="00990613" w:rsidRPr="009309A3" w:rsidRDefault="00990613" w:rsidP="00990613">
      <w:pPr>
        <w:spacing w:before="0" w:after="20" w:line="276" w:lineRule="auto"/>
        <w:jc w:val="left"/>
        <w:rPr>
          <w:b/>
          <w:bCs/>
        </w:rPr>
      </w:pPr>
      <w:r>
        <w:rPr>
          <w:b/>
          <w:bCs/>
        </w:rPr>
        <w:t>Workers’ Compensation Funding Ratio</w:t>
      </w:r>
    </w:p>
    <w:p w14:paraId="46B067BD" w14:textId="77777777" w:rsidR="00990613" w:rsidRPr="009309A3" w:rsidRDefault="00990613" w:rsidP="00990613">
      <w:pPr>
        <w:pStyle w:val="ListParagraph"/>
        <w:numPr>
          <w:ilvl w:val="0"/>
          <w:numId w:val="35"/>
        </w:numPr>
        <w:overflowPunct/>
        <w:autoSpaceDE/>
        <w:autoSpaceDN/>
        <w:adjustRightInd/>
        <w:spacing w:before="0" w:after="20" w:line="276" w:lineRule="auto"/>
        <w:contextualSpacing/>
        <w:jc w:val="left"/>
        <w:textAlignment w:val="auto"/>
      </w:pPr>
      <w:r w:rsidRPr="009309A3">
        <w:t xml:space="preserve">Standardised ratio of assets to net outstanding claim liabilities for centrally funded </w:t>
      </w:r>
      <w:proofErr w:type="gramStart"/>
      <w:r w:rsidRPr="009309A3">
        <w:t>schemes</w:t>
      </w:r>
      <w:proofErr w:type="gramEnd"/>
    </w:p>
    <w:p w14:paraId="7888A6C8" w14:textId="77777777" w:rsidR="00990613" w:rsidRPr="009309A3" w:rsidRDefault="00990613" w:rsidP="00990613">
      <w:pPr>
        <w:pStyle w:val="ListParagraph"/>
        <w:numPr>
          <w:ilvl w:val="0"/>
          <w:numId w:val="35"/>
        </w:numPr>
        <w:overflowPunct/>
        <w:autoSpaceDE/>
        <w:autoSpaceDN/>
        <w:adjustRightInd/>
        <w:spacing w:before="0" w:after="20" w:line="276" w:lineRule="auto"/>
        <w:contextualSpacing/>
        <w:jc w:val="left"/>
        <w:textAlignment w:val="auto"/>
      </w:pPr>
      <w:r w:rsidRPr="009309A3">
        <w:t xml:space="preserve">Standardised ratio of assets to net outstanding claim liabilities for privately underwritten </w:t>
      </w:r>
      <w:proofErr w:type="gramStart"/>
      <w:r w:rsidRPr="009309A3">
        <w:t>schemes</w:t>
      </w:r>
      <w:proofErr w:type="gramEnd"/>
      <w:r w:rsidRPr="009309A3">
        <w:tab/>
      </w:r>
    </w:p>
    <w:p w14:paraId="2D7340CA" w14:textId="77777777" w:rsidR="00990613" w:rsidRDefault="00990613" w:rsidP="00990613">
      <w:pPr>
        <w:spacing w:before="0" w:after="20" w:line="276" w:lineRule="auto"/>
        <w:jc w:val="left"/>
        <w:rPr>
          <w:b/>
          <w:bCs/>
        </w:rPr>
      </w:pPr>
    </w:p>
    <w:p w14:paraId="39896238" w14:textId="77777777" w:rsidR="00990613" w:rsidRPr="00846E39" w:rsidRDefault="00990613" w:rsidP="00990613">
      <w:pPr>
        <w:spacing w:before="0" w:after="20" w:line="276" w:lineRule="auto"/>
        <w:jc w:val="left"/>
        <w:rPr>
          <w:b/>
          <w:bCs/>
        </w:rPr>
      </w:pPr>
      <w:r>
        <w:rPr>
          <w:b/>
          <w:bCs/>
        </w:rPr>
        <w:t>Workers’ Compensation Disputes</w:t>
      </w:r>
    </w:p>
    <w:p w14:paraId="6689DA34" w14:textId="77777777" w:rsidR="00990613" w:rsidRPr="00990613" w:rsidRDefault="00990613" w:rsidP="00990613">
      <w:pPr>
        <w:pStyle w:val="ListParagraph"/>
        <w:numPr>
          <w:ilvl w:val="0"/>
          <w:numId w:val="36"/>
        </w:numPr>
        <w:overflowPunct/>
        <w:autoSpaceDE/>
        <w:autoSpaceDN/>
        <w:adjustRightInd/>
        <w:spacing w:before="0" w:after="20" w:line="276" w:lineRule="auto"/>
        <w:contextualSpacing/>
        <w:jc w:val="left"/>
        <w:textAlignment w:val="auto"/>
      </w:pPr>
      <w:r w:rsidRPr="00990613">
        <w:t>Proportion of claims with dispute</w:t>
      </w:r>
      <w:r w:rsidRPr="00990613">
        <w:tab/>
      </w:r>
    </w:p>
    <w:p w14:paraId="5184F141" w14:textId="77777777" w:rsidR="00990613" w:rsidRPr="00990613" w:rsidRDefault="00990613" w:rsidP="00990613">
      <w:pPr>
        <w:pStyle w:val="ListParagraph"/>
        <w:numPr>
          <w:ilvl w:val="0"/>
          <w:numId w:val="36"/>
        </w:numPr>
        <w:overflowPunct/>
        <w:autoSpaceDE/>
        <w:autoSpaceDN/>
        <w:adjustRightInd/>
        <w:spacing w:before="0" w:after="20" w:line="276" w:lineRule="auto"/>
        <w:contextualSpacing/>
        <w:jc w:val="left"/>
        <w:textAlignment w:val="auto"/>
      </w:pPr>
      <w:r w:rsidRPr="00990613">
        <w:t>Percentage of disputes resolved within selected time periods (cumulative)</w:t>
      </w:r>
    </w:p>
    <w:p w14:paraId="7C7158BA" w14:textId="4E140BE8" w:rsidR="0045021D" w:rsidRDefault="003F189B" w:rsidP="003F189B">
      <w:pPr>
        <w:spacing w:before="0" w:after="20" w:line="276" w:lineRule="auto"/>
        <w:jc w:val="left"/>
        <w:rPr>
          <w:rStyle w:val="Hyperlink"/>
          <w:b/>
        </w:rPr>
      </w:pPr>
      <w:r>
        <w:br w:type="page"/>
      </w:r>
    </w:p>
    <w:p w14:paraId="169AE2D0" w14:textId="77777777" w:rsidR="00E02CBC" w:rsidRPr="0045021D" w:rsidRDefault="00E02CBC" w:rsidP="0045021D">
      <w:pPr>
        <w:spacing w:before="0" w:after="200" w:line="276" w:lineRule="auto"/>
        <w:jc w:val="left"/>
        <w:rPr>
          <w:color w:val="0000FF" w:themeColor="hyperlink"/>
          <w:sz w:val="14"/>
          <w:szCs w:val="14"/>
          <w:u w:val="single"/>
        </w:rPr>
        <w:sectPr w:rsidR="00E02CBC" w:rsidRPr="0045021D" w:rsidSect="00990613">
          <w:pgSz w:w="11906" w:h="16838" w:code="9"/>
          <w:pgMar w:top="992" w:right="1797" w:bottom="1440" w:left="1276" w:header="709" w:footer="709" w:gutter="0"/>
          <w:cols w:space="242"/>
          <w:titlePg/>
          <w:docGrid w:linePitch="360"/>
        </w:sectPr>
      </w:pPr>
    </w:p>
    <w:sdt>
      <w:sdtPr>
        <w:rPr>
          <w:rFonts w:eastAsia="Times New Roman" w:cs="Times New Roman"/>
          <w:b w:val="0"/>
          <w:bCs w:val="0"/>
          <w:noProof/>
          <w:color w:val="auto"/>
          <w:sz w:val="20"/>
          <w:szCs w:val="24"/>
          <w:lang w:val="en-AU" w:eastAsia="en-AU"/>
        </w:rPr>
        <w:id w:val="-2034717502"/>
        <w:docPartObj>
          <w:docPartGallery w:val="Table of Contents"/>
          <w:docPartUnique/>
        </w:docPartObj>
      </w:sdtPr>
      <w:sdtEndPr/>
      <w:sdtContent>
        <w:p w14:paraId="23CDE83B" w14:textId="77777777" w:rsidR="00D60313" w:rsidRPr="00D60313" w:rsidRDefault="00D60313" w:rsidP="00E53AC3">
          <w:pPr>
            <w:pStyle w:val="TOCHeading"/>
            <w:spacing w:before="0"/>
          </w:pPr>
          <w:r w:rsidRPr="00816022">
            <w:t>Contents</w:t>
          </w:r>
        </w:p>
        <w:p w14:paraId="575938D5" w14:textId="78EE3227" w:rsidR="009968C2" w:rsidRDefault="00C00338">
          <w:pPr>
            <w:pStyle w:val="TOC1"/>
            <w:rPr>
              <w:rFonts w:asciiTheme="minorHAnsi" w:eastAsiaTheme="minorEastAsia" w:hAnsiTheme="minorHAnsi" w:cstheme="minorBidi"/>
              <w:kern w:val="2"/>
              <w:sz w:val="22"/>
              <w:szCs w:val="22"/>
              <w14:ligatures w14:val="standardContextual"/>
            </w:rPr>
          </w:pPr>
          <w:r>
            <w:fldChar w:fldCharType="begin"/>
          </w:r>
          <w:r>
            <w:instrText xml:space="preserve"> TOC \h \z \t "Title,1,SWA Section numbering heading,1,SWA Section title,1,SWA Section num 2,2" </w:instrText>
          </w:r>
          <w:r>
            <w:fldChar w:fldCharType="separate"/>
          </w:r>
          <w:hyperlink w:anchor="_Toc153368246" w:history="1">
            <w:r w:rsidR="009968C2" w:rsidRPr="00A05716">
              <w:rPr>
                <w:rStyle w:val="Hyperlink"/>
              </w:rPr>
              <w:t>Foreword</w:t>
            </w:r>
            <w:r w:rsidR="009968C2">
              <w:rPr>
                <w:webHidden/>
              </w:rPr>
              <w:tab/>
            </w:r>
            <w:r w:rsidR="009968C2">
              <w:rPr>
                <w:webHidden/>
              </w:rPr>
              <w:fldChar w:fldCharType="begin"/>
            </w:r>
            <w:r w:rsidR="009968C2">
              <w:rPr>
                <w:webHidden/>
              </w:rPr>
              <w:instrText xml:space="preserve"> PAGEREF _Toc153368246 \h </w:instrText>
            </w:r>
            <w:r w:rsidR="009968C2">
              <w:rPr>
                <w:webHidden/>
              </w:rPr>
            </w:r>
            <w:r w:rsidR="009968C2">
              <w:rPr>
                <w:webHidden/>
              </w:rPr>
              <w:fldChar w:fldCharType="separate"/>
            </w:r>
            <w:r w:rsidR="009968C2">
              <w:rPr>
                <w:webHidden/>
              </w:rPr>
              <w:t>5</w:t>
            </w:r>
            <w:r w:rsidR="009968C2">
              <w:rPr>
                <w:webHidden/>
              </w:rPr>
              <w:fldChar w:fldCharType="end"/>
            </w:r>
          </w:hyperlink>
        </w:p>
        <w:p w14:paraId="14E625D6" w14:textId="0B1C5C1C" w:rsidR="009968C2" w:rsidRDefault="009968C2">
          <w:pPr>
            <w:pStyle w:val="TOC1"/>
            <w:rPr>
              <w:rFonts w:asciiTheme="minorHAnsi" w:eastAsiaTheme="minorEastAsia" w:hAnsiTheme="minorHAnsi" w:cstheme="minorBidi"/>
              <w:kern w:val="2"/>
              <w:sz w:val="22"/>
              <w:szCs w:val="22"/>
              <w14:ligatures w14:val="standardContextual"/>
            </w:rPr>
          </w:pPr>
          <w:hyperlink w:anchor="_Toc153368247" w:history="1">
            <w:r w:rsidRPr="00A05716">
              <w:rPr>
                <w:rStyle w:val="Hyperlink"/>
              </w:rPr>
              <w:t>1.</w:t>
            </w:r>
            <w:r>
              <w:rPr>
                <w:rFonts w:asciiTheme="minorHAnsi" w:eastAsiaTheme="minorEastAsia" w:hAnsiTheme="minorHAnsi" w:cstheme="minorBidi"/>
                <w:kern w:val="2"/>
                <w:sz w:val="22"/>
                <w:szCs w:val="22"/>
                <w14:ligatures w14:val="standardContextual"/>
              </w:rPr>
              <w:tab/>
            </w:r>
            <w:r w:rsidRPr="00A05716">
              <w:rPr>
                <w:rStyle w:val="Hyperlink"/>
              </w:rPr>
              <w:t>Workers’ compensation premiums</w:t>
            </w:r>
            <w:r>
              <w:rPr>
                <w:webHidden/>
              </w:rPr>
              <w:tab/>
            </w:r>
            <w:r>
              <w:rPr>
                <w:webHidden/>
              </w:rPr>
              <w:fldChar w:fldCharType="begin"/>
            </w:r>
            <w:r>
              <w:rPr>
                <w:webHidden/>
              </w:rPr>
              <w:instrText xml:space="preserve"> PAGEREF _Toc153368247 \h </w:instrText>
            </w:r>
            <w:r>
              <w:rPr>
                <w:webHidden/>
              </w:rPr>
            </w:r>
            <w:r>
              <w:rPr>
                <w:webHidden/>
              </w:rPr>
              <w:fldChar w:fldCharType="separate"/>
            </w:r>
            <w:r>
              <w:rPr>
                <w:webHidden/>
              </w:rPr>
              <w:t>6</w:t>
            </w:r>
            <w:r>
              <w:rPr>
                <w:webHidden/>
              </w:rPr>
              <w:fldChar w:fldCharType="end"/>
            </w:r>
          </w:hyperlink>
        </w:p>
        <w:p w14:paraId="5C465024" w14:textId="77536015" w:rsidR="009968C2" w:rsidRDefault="009968C2">
          <w:pPr>
            <w:pStyle w:val="TOC2"/>
            <w:rPr>
              <w:rFonts w:asciiTheme="minorHAnsi" w:eastAsiaTheme="minorEastAsia" w:hAnsiTheme="minorHAnsi" w:cstheme="minorBidi"/>
              <w:noProof/>
              <w:kern w:val="2"/>
              <w:sz w:val="22"/>
              <w:szCs w:val="22"/>
              <w14:ligatures w14:val="standardContextual"/>
            </w:rPr>
          </w:pPr>
          <w:hyperlink w:anchor="_Toc153368248" w:history="1">
            <w:r w:rsidRPr="00A05716">
              <w:rPr>
                <w:rStyle w:val="Hyperlink"/>
                <w:noProof/>
              </w:rPr>
              <w:t>1.1</w:t>
            </w:r>
            <w:r>
              <w:rPr>
                <w:rFonts w:asciiTheme="minorHAnsi" w:eastAsiaTheme="minorEastAsia" w:hAnsiTheme="minorHAnsi" w:cstheme="minorBidi"/>
                <w:noProof/>
                <w:kern w:val="2"/>
                <w:sz w:val="22"/>
                <w:szCs w:val="22"/>
                <w14:ligatures w14:val="standardContextual"/>
              </w:rPr>
              <w:tab/>
            </w:r>
            <w:r w:rsidRPr="00A05716">
              <w:rPr>
                <w:rStyle w:val="Hyperlink"/>
                <w:noProof/>
              </w:rPr>
              <w:t>Standardised average premium rates by jurisdiction</w:t>
            </w:r>
            <w:r>
              <w:rPr>
                <w:noProof/>
                <w:webHidden/>
              </w:rPr>
              <w:tab/>
            </w:r>
            <w:r>
              <w:rPr>
                <w:noProof/>
                <w:webHidden/>
              </w:rPr>
              <w:fldChar w:fldCharType="begin"/>
            </w:r>
            <w:r>
              <w:rPr>
                <w:noProof/>
                <w:webHidden/>
              </w:rPr>
              <w:instrText xml:space="preserve"> PAGEREF _Toc153368248 \h </w:instrText>
            </w:r>
            <w:r>
              <w:rPr>
                <w:noProof/>
                <w:webHidden/>
              </w:rPr>
            </w:r>
            <w:r>
              <w:rPr>
                <w:noProof/>
                <w:webHidden/>
              </w:rPr>
              <w:fldChar w:fldCharType="separate"/>
            </w:r>
            <w:r>
              <w:rPr>
                <w:noProof/>
                <w:webHidden/>
              </w:rPr>
              <w:t>6</w:t>
            </w:r>
            <w:r>
              <w:rPr>
                <w:noProof/>
                <w:webHidden/>
              </w:rPr>
              <w:fldChar w:fldCharType="end"/>
            </w:r>
          </w:hyperlink>
        </w:p>
        <w:p w14:paraId="107D6746" w14:textId="6BA83BDC" w:rsidR="009968C2" w:rsidRDefault="009968C2">
          <w:pPr>
            <w:pStyle w:val="TOC1"/>
            <w:rPr>
              <w:rFonts w:asciiTheme="minorHAnsi" w:eastAsiaTheme="minorEastAsia" w:hAnsiTheme="minorHAnsi" w:cstheme="minorBidi"/>
              <w:kern w:val="2"/>
              <w:sz w:val="22"/>
              <w:szCs w:val="22"/>
              <w14:ligatures w14:val="standardContextual"/>
            </w:rPr>
          </w:pPr>
          <w:hyperlink w:anchor="_Toc153368249" w:history="1">
            <w:r w:rsidRPr="00A05716">
              <w:rPr>
                <w:rStyle w:val="Hyperlink"/>
              </w:rPr>
              <w:t>Standardised average premium rates (including insured and self-insured sectors) by jurisdiction</w:t>
            </w:r>
            <w:r>
              <w:rPr>
                <w:webHidden/>
              </w:rPr>
              <w:tab/>
            </w:r>
            <w:r>
              <w:rPr>
                <w:webHidden/>
              </w:rPr>
              <w:fldChar w:fldCharType="begin"/>
            </w:r>
            <w:r>
              <w:rPr>
                <w:webHidden/>
              </w:rPr>
              <w:instrText xml:space="preserve"> PAGEREF _Toc153368249 \h </w:instrText>
            </w:r>
            <w:r>
              <w:rPr>
                <w:webHidden/>
              </w:rPr>
            </w:r>
            <w:r>
              <w:rPr>
                <w:webHidden/>
              </w:rPr>
              <w:fldChar w:fldCharType="separate"/>
            </w:r>
            <w:r>
              <w:rPr>
                <w:webHidden/>
              </w:rPr>
              <w:t>7</w:t>
            </w:r>
            <w:r>
              <w:rPr>
                <w:webHidden/>
              </w:rPr>
              <w:fldChar w:fldCharType="end"/>
            </w:r>
          </w:hyperlink>
        </w:p>
        <w:p w14:paraId="35EF9503" w14:textId="31F07281" w:rsidR="009968C2" w:rsidRDefault="009968C2">
          <w:pPr>
            <w:pStyle w:val="TOC2"/>
            <w:rPr>
              <w:rFonts w:asciiTheme="minorHAnsi" w:eastAsiaTheme="minorEastAsia" w:hAnsiTheme="minorHAnsi" w:cstheme="minorBidi"/>
              <w:noProof/>
              <w:kern w:val="2"/>
              <w:sz w:val="22"/>
              <w:szCs w:val="22"/>
              <w14:ligatures w14:val="standardContextual"/>
            </w:rPr>
          </w:pPr>
          <w:hyperlink w:anchor="_Toc153368250" w:history="1">
            <w:r w:rsidRPr="00A05716">
              <w:rPr>
                <w:rStyle w:val="Hyperlink"/>
                <w:noProof/>
              </w:rPr>
              <w:t>1.2</w:t>
            </w:r>
            <w:r>
              <w:rPr>
                <w:rFonts w:asciiTheme="minorHAnsi" w:eastAsiaTheme="minorEastAsia" w:hAnsiTheme="minorHAnsi" w:cstheme="minorBidi"/>
                <w:noProof/>
                <w:kern w:val="2"/>
                <w:sz w:val="22"/>
                <w:szCs w:val="22"/>
                <w14:ligatures w14:val="standardContextual"/>
              </w:rPr>
              <w:tab/>
            </w:r>
            <w:r w:rsidRPr="00A05716">
              <w:rPr>
                <w:rStyle w:val="Hyperlink"/>
                <w:noProof/>
              </w:rPr>
              <w:t>Standardised average premium rates by industry</w:t>
            </w:r>
            <w:r>
              <w:rPr>
                <w:noProof/>
                <w:webHidden/>
              </w:rPr>
              <w:tab/>
            </w:r>
            <w:r>
              <w:rPr>
                <w:noProof/>
                <w:webHidden/>
              </w:rPr>
              <w:fldChar w:fldCharType="begin"/>
            </w:r>
            <w:r>
              <w:rPr>
                <w:noProof/>
                <w:webHidden/>
              </w:rPr>
              <w:instrText xml:space="preserve"> PAGEREF _Toc153368250 \h </w:instrText>
            </w:r>
            <w:r>
              <w:rPr>
                <w:noProof/>
                <w:webHidden/>
              </w:rPr>
            </w:r>
            <w:r>
              <w:rPr>
                <w:noProof/>
                <w:webHidden/>
              </w:rPr>
              <w:fldChar w:fldCharType="separate"/>
            </w:r>
            <w:r>
              <w:rPr>
                <w:noProof/>
                <w:webHidden/>
              </w:rPr>
              <w:t>8</w:t>
            </w:r>
            <w:r>
              <w:rPr>
                <w:noProof/>
                <w:webHidden/>
              </w:rPr>
              <w:fldChar w:fldCharType="end"/>
            </w:r>
          </w:hyperlink>
        </w:p>
        <w:p w14:paraId="433470DA" w14:textId="300D5598" w:rsidR="009968C2" w:rsidRDefault="009968C2">
          <w:pPr>
            <w:pStyle w:val="TOC1"/>
            <w:rPr>
              <w:rFonts w:asciiTheme="minorHAnsi" w:eastAsiaTheme="minorEastAsia" w:hAnsiTheme="minorHAnsi" w:cstheme="minorBidi"/>
              <w:kern w:val="2"/>
              <w:sz w:val="22"/>
              <w:szCs w:val="22"/>
              <w14:ligatures w14:val="standardContextual"/>
            </w:rPr>
          </w:pPr>
          <w:hyperlink w:anchor="_Toc153368251" w:history="1">
            <w:r w:rsidRPr="00A05716">
              <w:rPr>
                <w:rStyle w:val="Hyperlink"/>
              </w:rPr>
              <w:t>Australian average premium rates by industry</w:t>
            </w:r>
            <w:r>
              <w:rPr>
                <w:webHidden/>
              </w:rPr>
              <w:tab/>
            </w:r>
            <w:r>
              <w:rPr>
                <w:webHidden/>
              </w:rPr>
              <w:fldChar w:fldCharType="begin"/>
            </w:r>
            <w:r>
              <w:rPr>
                <w:webHidden/>
              </w:rPr>
              <w:instrText xml:space="preserve"> PAGEREF _Toc153368251 \h </w:instrText>
            </w:r>
            <w:r>
              <w:rPr>
                <w:webHidden/>
              </w:rPr>
            </w:r>
            <w:r>
              <w:rPr>
                <w:webHidden/>
              </w:rPr>
              <w:fldChar w:fldCharType="separate"/>
            </w:r>
            <w:r>
              <w:rPr>
                <w:webHidden/>
              </w:rPr>
              <w:t>8</w:t>
            </w:r>
            <w:r>
              <w:rPr>
                <w:webHidden/>
              </w:rPr>
              <w:fldChar w:fldCharType="end"/>
            </w:r>
          </w:hyperlink>
        </w:p>
        <w:p w14:paraId="4DDA3017" w14:textId="0A9966A3"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2" w:history="1">
            <w:r w:rsidRPr="00A05716">
              <w:rPr>
                <w:rStyle w:val="Hyperlink"/>
              </w:rPr>
              <w:t>Standardised premium rates for Agriculture, forestry and fishing by jurisdiction</w:t>
            </w:r>
            <w:r>
              <w:rPr>
                <w:webHidden/>
              </w:rPr>
              <w:tab/>
            </w:r>
            <w:r>
              <w:rPr>
                <w:webHidden/>
              </w:rPr>
              <w:fldChar w:fldCharType="begin"/>
            </w:r>
            <w:r>
              <w:rPr>
                <w:webHidden/>
              </w:rPr>
              <w:instrText xml:space="preserve"> PAGEREF _Toc153368252 \h </w:instrText>
            </w:r>
            <w:r>
              <w:rPr>
                <w:webHidden/>
              </w:rPr>
            </w:r>
            <w:r>
              <w:rPr>
                <w:webHidden/>
              </w:rPr>
              <w:fldChar w:fldCharType="separate"/>
            </w:r>
            <w:r>
              <w:rPr>
                <w:webHidden/>
              </w:rPr>
              <w:t>9</w:t>
            </w:r>
            <w:r>
              <w:rPr>
                <w:webHidden/>
              </w:rPr>
              <w:fldChar w:fldCharType="end"/>
            </w:r>
          </w:hyperlink>
        </w:p>
        <w:p w14:paraId="4673B47A" w14:textId="3A033A74"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3" w:history="1">
            <w:r w:rsidRPr="00A05716">
              <w:rPr>
                <w:rStyle w:val="Hyperlink"/>
              </w:rPr>
              <w:t>Standardised premium rates for Mining by jurisdiction</w:t>
            </w:r>
            <w:r>
              <w:rPr>
                <w:webHidden/>
              </w:rPr>
              <w:tab/>
            </w:r>
            <w:r>
              <w:rPr>
                <w:webHidden/>
              </w:rPr>
              <w:fldChar w:fldCharType="begin"/>
            </w:r>
            <w:r>
              <w:rPr>
                <w:webHidden/>
              </w:rPr>
              <w:instrText xml:space="preserve"> PAGEREF _Toc153368253 \h </w:instrText>
            </w:r>
            <w:r>
              <w:rPr>
                <w:webHidden/>
              </w:rPr>
            </w:r>
            <w:r>
              <w:rPr>
                <w:webHidden/>
              </w:rPr>
              <w:fldChar w:fldCharType="separate"/>
            </w:r>
            <w:r>
              <w:rPr>
                <w:webHidden/>
              </w:rPr>
              <w:t>9</w:t>
            </w:r>
            <w:r>
              <w:rPr>
                <w:webHidden/>
              </w:rPr>
              <w:fldChar w:fldCharType="end"/>
            </w:r>
          </w:hyperlink>
        </w:p>
        <w:p w14:paraId="5FDF8928" w14:textId="28E659AC"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4" w:history="1">
            <w:r w:rsidRPr="00A05716">
              <w:rPr>
                <w:rStyle w:val="Hyperlink"/>
              </w:rPr>
              <w:t>Standardised premium rates for Manufacturing by jurisdiction</w:t>
            </w:r>
            <w:r>
              <w:rPr>
                <w:webHidden/>
              </w:rPr>
              <w:tab/>
            </w:r>
            <w:r>
              <w:rPr>
                <w:webHidden/>
              </w:rPr>
              <w:fldChar w:fldCharType="begin"/>
            </w:r>
            <w:r>
              <w:rPr>
                <w:webHidden/>
              </w:rPr>
              <w:instrText xml:space="preserve"> PAGEREF _Toc153368254 \h </w:instrText>
            </w:r>
            <w:r>
              <w:rPr>
                <w:webHidden/>
              </w:rPr>
            </w:r>
            <w:r>
              <w:rPr>
                <w:webHidden/>
              </w:rPr>
              <w:fldChar w:fldCharType="separate"/>
            </w:r>
            <w:r>
              <w:rPr>
                <w:webHidden/>
              </w:rPr>
              <w:t>10</w:t>
            </w:r>
            <w:r>
              <w:rPr>
                <w:webHidden/>
              </w:rPr>
              <w:fldChar w:fldCharType="end"/>
            </w:r>
          </w:hyperlink>
        </w:p>
        <w:p w14:paraId="1D9D9F65" w14:textId="280AD3AF"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5" w:history="1">
            <w:r w:rsidRPr="00A05716">
              <w:rPr>
                <w:rStyle w:val="Hyperlink"/>
              </w:rPr>
              <w:t>Standardised premium rates for Electricity, gas, water and waste services by jurisdiction</w:t>
            </w:r>
            <w:r>
              <w:rPr>
                <w:webHidden/>
              </w:rPr>
              <w:tab/>
            </w:r>
            <w:r>
              <w:rPr>
                <w:webHidden/>
              </w:rPr>
              <w:fldChar w:fldCharType="begin"/>
            </w:r>
            <w:r>
              <w:rPr>
                <w:webHidden/>
              </w:rPr>
              <w:instrText xml:space="preserve"> PAGEREF _Toc153368255 \h </w:instrText>
            </w:r>
            <w:r>
              <w:rPr>
                <w:webHidden/>
              </w:rPr>
            </w:r>
            <w:r>
              <w:rPr>
                <w:webHidden/>
              </w:rPr>
              <w:fldChar w:fldCharType="separate"/>
            </w:r>
            <w:r>
              <w:rPr>
                <w:webHidden/>
              </w:rPr>
              <w:t>10</w:t>
            </w:r>
            <w:r>
              <w:rPr>
                <w:webHidden/>
              </w:rPr>
              <w:fldChar w:fldCharType="end"/>
            </w:r>
          </w:hyperlink>
        </w:p>
        <w:p w14:paraId="42F8B3B1" w14:textId="42679CE4"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6" w:history="1">
            <w:r w:rsidRPr="00A05716">
              <w:rPr>
                <w:rStyle w:val="Hyperlink"/>
              </w:rPr>
              <w:t>Standardised premium rates for Construction by jurisdiction</w:t>
            </w:r>
            <w:r>
              <w:rPr>
                <w:webHidden/>
              </w:rPr>
              <w:tab/>
            </w:r>
            <w:r>
              <w:rPr>
                <w:webHidden/>
              </w:rPr>
              <w:fldChar w:fldCharType="begin"/>
            </w:r>
            <w:r>
              <w:rPr>
                <w:webHidden/>
              </w:rPr>
              <w:instrText xml:space="preserve"> PAGEREF _Toc153368256 \h </w:instrText>
            </w:r>
            <w:r>
              <w:rPr>
                <w:webHidden/>
              </w:rPr>
            </w:r>
            <w:r>
              <w:rPr>
                <w:webHidden/>
              </w:rPr>
              <w:fldChar w:fldCharType="separate"/>
            </w:r>
            <w:r>
              <w:rPr>
                <w:webHidden/>
              </w:rPr>
              <w:t>11</w:t>
            </w:r>
            <w:r>
              <w:rPr>
                <w:webHidden/>
              </w:rPr>
              <w:fldChar w:fldCharType="end"/>
            </w:r>
          </w:hyperlink>
        </w:p>
        <w:p w14:paraId="5A126A83" w14:textId="51B8AE00"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7" w:history="1">
            <w:r w:rsidRPr="00A05716">
              <w:rPr>
                <w:rStyle w:val="Hyperlink"/>
              </w:rPr>
              <w:t>Standardised premium rates for Wholesale trade by jurisdiction</w:t>
            </w:r>
            <w:r>
              <w:rPr>
                <w:webHidden/>
              </w:rPr>
              <w:tab/>
            </w:r>
            <w:r>
              <w:rPr>
                <w:webHidden/>
              </w:rPr>
              <w:fldChar w:fldCharType="begin"/>
            </w:r>
            <w:r>
              <w:rPr>
                <w:webHidden/>
              </w:rPr>
              <w:instrText xml:space="preserve"> PAGEREF _Toc153368257 \h </w:instrText>
            </w:r>
            <w:r>
              <w:rPr>
                <w:webHidden/>
              </w:rPr>
            </w:r>
            <w:r>
              <w:rPr>
                <w:webHidden/>
              </w:rPr>
              <w:fldChar w:fldCharType="separate"/>
            </w:r>
            <w:r>
              <w:rPr>
                <w:webHidden/>
              </w:rPr>
              <w:t>11</w:t>
            </w:r>
            <w:r>
              <w:rPr>
                <w:webHidden/>
              </w:rPr>
              <w:fldChar w:fldCharType="end"/>
            </w:r>
          </w:hyperlink>
        </w:p>
        <w:p w14:paraId="0F8CFBEF" w14:textId="34F827BE"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8" w:history="1">
            <w:r w:rsidRPr="00A05716">
              <w:rPr>
                <w:rStyle w:val="Hyperlink"/>
              </w:rPr>
              <w:t>Standardised premium rates for Retail trade by jurisdiction</w:t>
            </w:r>
            <w:r>
              <w:rPr>
                <w:webHidden/>
              </w:rPr>
              <w:tab/>
            </w:r>
            <w:r>
              <w:rPr>
                <w:webHidden/>
              </w:rPr>
              <w:fldChar w:fldCharType="begin"/>
            </w:r>
            <w:r>
              <w:rPr>
                <w:webHidden/>
              </w:rPr>
              <w:instrText xml:space="preserve"> PAGEREF _Toc153368258 \h </w:instrText>
            </w:r>
            <w:r>
              <w:rPr>
                <w:webHidden/>
              </w:rPr>
            </w:r>
            <w:r>
              <w:rPr>
                <w:webHidden/>
              </w:rPr>
              <w:fldChar w:fldCharType="separate"/>
            </w:r>
            <w:r>
              <w:rPr>
                <w:webHidden/>
              </w:rPr>
              <w:t>12</w:t>
            </w:r>
            <w:r>
              <w:rPr>
                <w:webHidden/>
              </w:rPr>
              <w:fldChar w:fldCharType="end"/>
            </w:r>
          </w:hyperlink>
        </w:p>
        <w:p w14:paraId="2EA9B938" w14:textId="483A3E3E"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59" w:history="1">
            <w:r w:rsidRPr="00A05716">
              <w:rPr>
                <w:rStyle w:val="Hyperlink"/>
              </w:rPr>
              <w:t>Standardised premium rates for Accommodation and food services by jurisdiction</w:t>
            </w:r>
            <w:r>
              <w:rPr>
                <w:webHidden/>
              </w:rPr>
              <w:tab/>
            </w:r>
            <w:r>
              <w:rPr>
                <w:webHidden/>
              </w:rPr>
              <w:fldChar w:fldCharType="begin"/>
            </w:r>
            <w:r>
              <w:rPr>
                <w:webHidden/>
              </w:rPr>
              <w:instrText xml:space="preserve"> PAGEREF _Toc153368259 \h </w:instrText>
            </w:r>
            <w:r>
              <w:rPr>
                <w:webHidden/>
              </w:rPr>
            </w:r>
            <w:r>
              <w:rPr>
                <w:webHidden/>
              </w:rPr>
              <w:fldChar w:fldCharType="separate"/>
            </w:r>
            <w:r>
              <w:rPr>
                <w:webHidden/>
              </w:rPr>
              <w:t>12</w:t>
            </w:r>
            <w:r>
              <w:rPr>
                <w:webHidden/>
              </w:rPr>
              <w:fldChar w:fldCharType="end"/>
            </w:r>
          </w:hyperlink>
        </w:p>
        <w:p w14:paraId="4033786E" w14:textId="6339B31A"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0" w:history="1">
            <w:r w:rsidRPr="00A05716">
              <w:rPr>
                <w:rStyle w:val="Hyperlink"/>
              </w:rPr>
              <w:t>Standardised premium rates for Transport, postal and warehousing by jurisdiction</w:t>
            </w:r>
            <w:r>
              <w:rPr>
                <w:webHidden/>
              </w:rPr>
              <w:tab/>
            </w:r>
            <w:r>
              <w:rPr>
                <w:webHidden/>
              </w:rPr>
              <w:fldChar w:fldCharType="begin"/>
            </w:r>
            <w:r>
              <w:rPr>
                <w:webHidden/>
              </w:rPr>
              <w:instrText xml:space="preserve"> PAGEREF _Toc153368260 \h </w:instrText>
            </w:r>
            <w:r>
              <w:rPr>
                <w:webHidden/>
              </w:rPr>
            </w:r>
            <w:r>
              <w:rPr>
                <w:webHidden/>
              </w:rPr>
              <w:fldChar w:fldCharType="separate"/>
            </w:r>
            <w:r>
              <w:rPr>
                <w:webHidden/>
              </w:rPr>
              <w:t>13</w:t>
            </w:r>
            <w:r>
              <w:rPr>
                <w:webHidden/>
              </w:rPr>
              <w:fldChar w:fldCharType="end"/>
            </w:r>
          </w:hyperlink>
        </w:p>
        <w:p w14:paraId="119FDAB2" w14:textId="3798D007"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1" w:history="1">
            <w:r w:rsidRPr="00A05716">
              <w:rPr>
                <w:rStyle w:val="Hyperlink"/>
              </w:rPr>
              <w:t>Standardised premium rates for Information, media and telecommunications by jurisdiction</w:t>
            </w:r>
            <w:r>
              <w:rPr>
                <w:webHidden/>
              </w:rPr>
              <w:tab/>
            </w:r>
            <w:r>
              <w:rPr>
                <w:webHidden/>
              </w:rPr>
              <w:fldChar w:fldCharType="begin"/>
            </w:r>
            <w:r>
              <w:rPr>
                <w:webHidden/>
              </w:rPr>
              <w:instrText xml:space="preserve"> PAGEREF _Toc153368261 \h </w:instrText>
            </w:r>
            <w:r>
              <w:rPr>
                <w:webHidden/>
              </w:rPr>
            </w:r>
            <w:r>
              <w:rPr>
                <w:webHidden/>
              </w:rPr>
              <w:fldChar w:fldCharType="separate"/>
            </w:r>
            <w:r>
              <w:rPr>
                <w:webHidden/>
              </w:rPr>
              <w:t>13</w:t>
            </w:r>
            <w:r>
              <w:rPr>
                <w:webHidden/>
              </w:rPr>
              <w:fldChar w:fldCharType="end"/>
            </w:r>
          </w:hyperlink>
        </w:p>
        <w:p w14:paraId="3C95A420" w14:textId="7C715F60"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2" w:history="1">
            <w:r w:rsidRPr="00A05716">
              <w:rPr>
                <w:rStyle w:val="Hyperlink"/>
              </w:rPr>
              <w:t>Standardised premium rates for Financial and insurance services by jurisdiction</w:t>
            </w:r>
            <w:r>
              <w:rPr>
                <w:webHidden/>
              </w:rPr>
              <w:tab/>
            </w:r>
            <w:r>
              <w:rPr>
                <w:webHidden/>
              </w:rPr>
              <w:fldChar w:fldCharType="begin"/>
            </w:r>
            <w:r>
              <w:rPr>
                <w:webHidden/>
              </w:rPr>
              <w:instrText xml:space="preserve"> PAGEREF _Toc153368262 \h </w:instrText>
            </w:r>
            <w:r>
              <w:rPr>
                <w:webHidden/>
              </w:rPr>
            </w:r>
            <w:r>
              <w:rPr>
                <w:webHidden/>
              </w:rPr>
              <w:fldChar w:fldCharType="separate"/>
            </w:r>
            <w:r>
              <w:rPr>
                <w:webHidden/>
              </w:rPr>
              <w:t>14</w:t>
            </w:r>
            <w:r>
              <w:rPr>
                <w:webHidden/>
              </w:rPr>
              <w:fldChar w:fldCharType="end"/>
            </w:r>
          </w:hyperlink>
        </w:p>
        <w:p w14:paraId="53C621B6" w14:textId="2464E6FA"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3" w:history="1">
            <w:r w:rsidRPr="00A05716">
              <w:rPr>
                <w:rStyle w:val="Hyperlink"/>
              </w:rPr>
              <w:t>Standardised premium rates for Rental, hiring and real estate services by jurisdiction</w:t>
            </w:r>
            <w:r>
              <w:rPr>
                <w:webHidden/>
              </w:rPr>
              <w:tab/>
            </w:r>
            <w:r>
              <w:rPr>
                <w:webHidden/>
              </w:rPr>
              <w:fldChar w:fldCharType="begin"/>
            </w:r>
            <w:r>
              <w:rPr>
                <w:webHidden/>
              </w:rPr>
              <w:instrText xml:space="preserve"> PAGEREF _Toc153368263 \h </w:instrText>
            </w:r>
            <w:r>
              <w:rPr>
                <w:webHidden/>
              </w:rPr>
            </w:r>
            <w:r>
              <w:rPr>
                <w:webHidden/>
              </w:rPr>
              <w:fldChar w:fldCharType="separate"/>
            </w:r>
            <w:r>
              <w:rPr>
                <w:webHidden/>
              </w:rPr>
              <w:t>14</w:t>
            </w:r>
            <w:r>
              <w:rPr>
                <w:webHidden/>
              </w:rPr>
              <w:fldChar w:fldCharType="end"/>
            </w:r>
          </w:hyperlink>
        </w:p>
        <w:p w14:paraId="730824E5" w14:textId="4DFDDD76"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4" w:history="1">
            <w:r w:rsidRPr="00A05716">
              <w:rPr>
                <w:rStyle w:val="Hyperlink"/>
              </w:rPr>
              <w:t>Standardised premium rates for Professional, scientific and technical services by jurisdiction</w:t>
            </w:r>
            <w:r>
              <w:rPr>
                <w:webHidden/>
              </w:rPr>
              <w:tab/>
            </w:r>
            <w:r>
              <w:rPr>
                <w:webHidden/>
              </w:rPr>
              <w:fldChar w:fldCharType="begin"/>
            </w:r>
            <w:r>
              <w:rPr>
                <w:webHidden/>
              </w:rPr>
              <w:instrText xml:space="preserve"> PAGEREF _Toc153368264 \h </w:instrText>
            </w:r>
            <w:r>
              <w:rPr>
                <w:webHidden/>
              </w:rPr>
            </w:r>
            <w:r>
              <w:rPr>
                <w:webHidden/>
              </w:rPr>
              <w:fldChar w:fldCharType="separate"/>
            </w:r>
            <w:r>
              <w:rPr>
                <w:webHidden/>
              </w:rPr>
              <w:t>15</w:t>
            </w:r>
            <w:r>
              <w:rPr>
                <w:webHidden/>
              </w:rPr>
              <w:fldChar w:fldCharType="end"/>
            </w:r>
          </w:hyperlink>
        </w:p>
        <w:p w14:paraId="1A7C66F8" w14:textId="1F25CD23"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5" w:history="1">
            <w:r w:rsidRPr="00A05716">
              <w:rPr>
                <w:rStyle w:val="Hyperlink"/>
              </w:rPr>
              <w:t>Standardised premium rates for Administrative and support services by jurisdiction</w:t>
            </w:r>
            <w:r>
              <w:rPr>
                <w:webHidden/>
              </w:rPr>
              <w:tab/>
            </w:r>
            <w:r>
              <w:rPr>
                <w:webHidden/>
              </w:rPr>
              <w:fldChar w:fldCharType="begin"/>
            </w:r>
            <w:r>
              <w:rPr>
                <w:webHidden/>
              </w:rPr>
              <w:instrText xml:space="preserve"> PAGEREF _Toc153368265 \h </w:instrText>
            </w:r>
            <w:r>
              <w:rPr>
                <w:webHidden/>
              </w:rPr>
            </w:r>
            <w:r>
              <w:rPr>
                <w:webHidden/>
              </w:rPr>
              <w:fldChar w:fldCharType="separate"/>
            </w:r>
            <w:r>
              <w:rPr>
                <w:webHidden/>
              </w:rPr>
              <w:t>15</w:t>
            </w:r>
            <w:r>
              <w:rPr>
                <w:webHidden/>
              </w:rPr>
              <w:fldChar w:fldCharType="end"/>
            </w:r>
          </w:hyperlink>
        </w:p>
        <w:p w14:paraId="318702A6" w14:textId="083B8651"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6" w:history="1">
            <w:r w:rsidRPr="00A05716">
              <w:rPr>
                <w:rStyle w:val="Hyperlink"/>
              </w:rPr>
              <w:t>Standardised premium rates for Public administration and safety by jurisdiction</w:t>
            </w:r>
            <w:r>
              <w:rPr>
                <w:webHidden/>
              </w:rPr>
              <w:tab/>
            </w:r>
            <w:r>
              <w:rPr>
                <w:webHidden/>
              </w:rPr>
              <w:fldChar w:fldCharType="begin"/>
            </w:r>
            <w:r>
              <w:rPr>
                <w:webHidden/>
              </w:rPr>
              <w:instrText xml:space="preserve"> PAGEREF _Toc153368266 \h </w:instrText>
            </w:r>
            <w:r>
              <w:rPr>
                <w:webHidden/>
              </w:rPr>
            </w:r>
            <w:r>
              <w:rPr>
                <w:webHidden/>
              </w:rPr>
              <w:fldChar w:fldCharType="separate"/>
            </w:r>
            <w:r>
              <w:rPr>
                <w:webHidden/>
              </w:rPr>
              <w:t>16</w:t>
            </w:r>
            <w:r>
              <w:rPr>
                <w:webHidden/>
              </w:rPr>
              <w:fldChar w:fldCharType="end"/>
            </w:r>
          </w:hyperlink>
        </w:p>
        <w:p w14:paraId="237D69E1" w14:textId="6E9C99A7"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7" w:history="1">
            <w:r w:rsidRPr="00A05716">
              <w:rPr>
                <w:rStyle w:val="Hyperlink"/>
              </w:rPr>
              <w:t>Standardised premium rates for Education and training by jurisdiction</w:t>
            </w:r>
            <w:r>
              <w:rPr>
                <w:webHidden/>
              </w:rPr>
              <w:tab/>
            </w:r>
            <w:r>
              <w:rPr>
                <w:webHidden/>
              </w:rPr>
              <w:fldChar w:fldCharType="begin"/>
            </w:r>
            <w:r>
              <w:rPr>
                <w:webHidden/>
              </w:rPr>
              <w:instrText xml:space="preserve"> PAGEREF _Toc153368267 \h </w:instrText>
            </w:r>
            <w:r>
              <w:rPr>
                <w:webHidden/>
              </w:rPr>
            </w:r>
            <w:r>
              <w:rPr>
                <w:webHidden/>
              </w:rPr>
              <w:fldChar w:fldCharType="separate"/>
            </w:r>
            <w:r>
              <w:rPr>
                <w:webHidden/>
              </w:rPr>
              <w:t>16</w:t>
            </w:r>
            <w:r>
              <w:rPr>
                <w:webHidden/>
              </w:rPr>
              <w:fldChar w:fldCharType="end"/>
            </w:r>
          </w:hyperlink>
        </w:p>
        <w:p w14:paraId="1D53B2D5" w14:textId="08BF9FC5"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8" w:history="1">
            <w:r w:rsidRPr="00A05716">
              <w:rPr>
                <w:rStyle w:val="Hyperlink"/>
              </w:rPr>
              <w:t>Standardised premium rates for Healthcare and social assistance by jurisdiction</w:t>
            </w:r>
            <w:r>
              <w:rPr>
                <w:webHidden/>
              </w:rPr>
              <w:tab/>
            </w:r>
            <w:r>
              <w:rPr>
                <w:webHidden/>
              </w:rPr>
              <w:fldChar w:fldCharType="begin"/>
            </w:r>
            <w:r>
              <w:rPr>
                <w:webHidden/>
              </w:rPr>
              <w:instrText xml:space="preserve"> PAGEREF _Toc153368268 \h </w:instrText>
            </w:r>
            <w:r>
              <w:rPr>
                <w:webHidden/>
              </w:rPr>
            </w:r>
            <w:r>
              <w:rPr>
                <w:webHidden/>
              </w:rPr>
              <w:fldChar w:fldCharType="separate"/>
            </w:r>
            <w:r>
              <w:rPr>
                <w:webHidden/>
              </w:rPr>
              <w:t>17</w:t>
            </w:r>
            <w:r>
              <w:rPr>
                <w:webHidden/>
              </w:rPr>
              <w:fldChar w:fldCharType="end"/>
            </w:r>
          </w:hyperlink>
        </w:p>
        <w:p w14:paraId="2F0063E8" w14:textId="3A610509"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69" w:history="1">
            <w:r w:rsidRPr="00A05716">
              <w:rPr>
                <w:rStyle w:val="Hyperlink"/>
              </w:rPr>
              <w:t>Standardised premium rates for Arts and recreation services by jurisdiction</w:t>
            </w:r>
            <w:r>
              <w:rPr>
                <w:webHidden/>
              </w:rPr>
              <w:tab/>
            </w:r>
            <w:r>
              <w:rPr>
                <w:webHidden/>
              </w:rPr>
              <w:fldChar w:fldCharType="begin"/>
            </w:r>
            <w:r>
              <w:rPr>
                <w:webHidden/>
              </w:rPr>
              <w:instrText xml:space="preserve"> PAGEREF _Toc153368269 \h </w:instrText>
            </w:r>
            <w:r>
              <w:rPr>
                <w:webHidden/>
              </w:rPr>
            </w:r>
            <w:r>
              <w:rPr>
                <w:webHidden/>
              </w:rPr>
              <w:fldChar w:fldCharType="separate"/>
            </w:r>
            <w:r>
              <w:rPr>
                <w:webHidden/>
              </w:rPr>
              <w:t>17</w:t>
            </w:r>
            <w:r>
              <w:rPr>
                <w:webHidden/>
              </w:rPr>
              <w:fldChar w:fldCharType="end"/>
            </w:r>
          </w:hyperlink>
        </w:p>
        <w:p w14:paraId="3D057C8B" w14:textId="370AF426" w:rsidR="009968C2" w:rsidRDefault="009968C2" w:rsidP="009968C2">
          <w:pPr>
            <w:pStyle w:val="TOC1"/>
            <w:ind w:left="284"/>
            <w:rPr>
              <w:rFonts w:asciiTheme="minorHAnsi" w:eastAsiaTheme="minorEastAsia" w:hAnsiTheme="minorHAnsi" w:cstheme="minorBidi"/>
              <w:kern w:val="2"/>
              <w:sz w:val="22"/>
              <w:szCs w:val="22"/>
              <w14:ligatures w14:val="standardContextual"/>
            </w:rPr>
          </w:pPr>
          <w:hyperlink w:anchor="_Toc153368270" w:history="1">
            <w:r w:rsidRPr="00A05716">
              <w:rPr>
                <w:rStyle w:val="Hyperlink"/>
              </w:rPr>
              <w:t>Standardised premium rates for Other services by jurisdiction</w:t>
            </w:r>
            <w:r>
              <w:rPr>
                <w:webHidden/>
              </w:rPr>
              <w:tab/>
            </w:r>
            <w:r>
              <w:rPr>
                <w:webHidden/>
              </w:rPr>
              <w:fldChar w:fldCharType="begin"/>
            </w:r>
            <w:r>
              <w:rPr>
                <w:webHidden/>
              </w:rPr>
              <w:instrText xml:space="preserve"> PAGEREF _Toc153368270 \h </w:instrText>
            </w:r>
            <w:r>
              <w:rPr>
                <w:webHidden/>
              </w:rPr>
            </w:r>
            <w:r>
              <w:rPr>
                <w:webHidden/>
              </w:rPr>
              <w:fldChar w:fldCharType="separate"/>
            </w:r>
            <w:r>
              <w:rPr>
                <w:webHidden/>
              </w:rPr>
              <w:t>18</w:t>
            </w:r>
            <w:r>
              <w:rPr>
                <w:webHidden/>
              </w:rPr>
              <w:fldChar w:fldCharType="end"/>
            </w:r>
          </w:hyperlink>
        </w:p>
        <w:p w14:paraId="1687C25B" w14:textId="575FF096" w:rsidR="009968C2" w:rsidRDefault="009968C2">
          <w:pPr>
            <w:pStyle w:val="TOC1"/>
            <w:rPr>
              <w:rFonts w:asciiTheme="minorHAnsi" w:eastAsiaTheme="minorEastAsia" w:hAnsiTheme="minorHAnsi" w:cstheme="minorBidi"/>
              <w:kern w:val="2"/>
              <w:sz w:val="22"/>
              <w:szCs w:val="22"/>
              <w14:ligatures w14:val="standardContextual"/>
            </w:rPr>
          </w:pPr>
          <w:hyperlink w:anchor="_Toc153368271" w:history="1">
            <w:r w:rsidRPr="00A05716">
              <w:rPr>
                <w:rStyle w:val="Hyperlink"/>
              </w:rPr>
              <w:t>Appendix 1 — Explanatory notes for premium rates and entitlements</w:t>
            </w:r>
            <w:r>
              <w:rPr>
                <w:webHidden/>
              </w:rPr>
              <w:tab/>
            </w:r>
            <w:r>
              <w:rPr>
                <w:webHidden/>
              </w:rPr>
              <w:fldChar w:fldCharType="begin"/>
            </w:r>
            <w:r>
              <w:rPr>
                <w:webHidden/>
              </w:rPr>
              <w:instrText xml:space="preserve"> PAGEREF _Toc153368271 \h </w:instrText>
            </w:r>
            <w:r>
              <w:rPr>
                <w:webHidden/>
              </w:rPr>
            </w:r>
            <w:r>
              <w:rPr>
                <w:webHidden/>
              </w:rPr>
              <w:fldChar w:fldCharType="separate"/>
            </w:r>
            <w:r>
              <w:rPr>
                <w:webHidden/>
              </w:rPr>
              <w:t>19</w:t>
            </w:r>
            <w:r>
              <w:rPr>
                <w:webHidden/>
              </w:rPr>
              <w:fldChar w:fldCharType="end"/>
            </w:r>
          </w:hyperlink>
        </w:p>
        <w:p w14:paraId="14694D12" w14:textId="7137D913" w:rsidR="00D60313" w:rsidRDefault="00C00338" w:rsidP="004345ED">
          <w:pPr>
            <w:pStyle w:val="TOC1"/>
          </w:pPr>
          <w:r>
            <w:fldChar w:fldCharType="end"/>
          </w:r>
        </w:p>
      </w:sdtContent>
    </w:sdt>
    <w:p w14:paraId="3B15A272" w14:textId="77777777" w:rsidR="00C16BBF" w:rsidRPr="00C16BBF" w:rsidRDefault="00C16BBF" w:rsidP="00C16BBF">
      <w:pPr>
        <w:pStyle w:val="Body"/>
        <w:rPr>
          <w:rFonts w:eastAsiaTheme="majorEastAsia"/>
        </w:rPr>
      </w:pPr>
      <w:bookmarkStart w:id="0" w:name="_Toc56599599"/>
      <w:bookmarkStart w:id="1" w:name="_Toc79584098"/>
      <w:bookmarkStart w:id="2" w:name="_Toc80188295"/>
      <w:bookmarkStart w:id="3" w:name="_Hlk54968570"/>
      <w:r w:rsidRPr="00C16BBF">
        <w:br w:type="page"/>
      </w:r>
    </w:p>
    <w:p w14:paraId="472E9ED9" w14:textId="7D18CA4B" w:rsidR="00504A3A" w:rsidRDefault="00504A3A" w:rsidP="00504A3A">
      <w:pPr>
        <w:pStyle w:val="Title"/>
        <w:tabs>
          <w:tab w:val="center" w:pos="8222"/>
        </w:tabs>
      </w:pPr>
      <w:bookmarkStart w:id="4" w:name="_Toc153368246"/>
      <w:r>
        <w:t>Foreword</w:t>
      </w:r>
      <w:bookmarkEnd w:id="0"/>
      <w:bookmarkEnd w:id="1"/>
      <w:bookmarkEnd w:id="2"/>
      <w:bookmarkEnd w:id="4"/>
    </w:p>
    <w:p w14:paraId="6290CF89" w14:textId="124BFDE1" w:rsidR="00504A3A" w:rsidRDefault="00504A3A" w:rsidP="00203FD5">
      <w:r>
        <w:t>This is the 2</w:t>
      </w:r>
      <w:r w:rsidR="003E0DEF">
        <w:t>5</w:t>
      </w:r>
      <w:r w:rsidR="00072A40" w:rsidRPr="00072A40">
        <w:rPr>
          <w:vertAlign w:val="superscript"/>
        </w:rPr>
        <w:t>th</w:t>
      </w:r>
      <w:r>
        <w:t xml:space="preserve"> edition of the Comparative Performance Monitoring (CPM) report which provides trend analyses about work health and safety </w:t>
      </w:r>
      <w:r w:rsidR="00CA7A06">
        <w:t xml:space="preserve">(WHS) </w:t>
      </w:r>
      <w:r>
        <w:t xml:space="preserve">and workers’ compensation schemes operating in Australia and New Zealand. </w:t>
      </w:r>
    </w:p>
    <w:p w14:paraId="68769967" w14:textId="008E47D7" w:rsidR="00504A3A" w:rsidRDefault="00504A3A" w:rsidP="00203FD5">
      <w:r>
        <w:t xml:space="preserve">This report has been compiled and coordinated by Safe Work Australia with assistance from representatives of all </w:t>
      </w:r>
      <w:r w:rsidR="00CA7A06">
        <w:t xml:space="preserve">WHS </w:t>
      </w:r>
      <w:r>
        <w:t>and workers’ compensation authorities in Australia and New Zealand. Through a partnership of governments, employers and employees, Safe Work Australia leads the development of national policy to improve WHS and workers’ compensation arrangements across Australia.</w:t>
      </w:r>
    </w:p>
    <w:p w14:paraId="28E7EE12" w14:textId="07A80B4C" w:rsidR="00504A3A" w:rsidRDefault="00504A3A" w:rsidP="00203FD5">
      <w:r>
        <w:t xml:space="preserve">The report is </w:t>
      </w:r>
      <w:r w:rsidR="00C810D3">
        <w:t xml:space="preserve">presented in the </w:t>
      </w:r>
      <w:r>
        <w:t>following sections:</w:t>
      </w:r>
    </w:p>
    <w:p w14:paraId="18BC706D" w14:textId="77777777" w:rsidR="00990613" w:rsidRPr="00C314EB" w:rsidRDefault="00990613" w:rsidP="00990613">
      <w:pPr>
        <w:pStyle w:val="ListParagraph"/>
        <w:numPr>
          <w:ilvl w:val="0"/>
          <w:numId w:val="9"/>
        </w:numPr>
        <w:tabs>
          <w:tab w:val="left" w:pos="709"/>
        </w:tabs>
        <w:spacing w:before="120" w:after="120"/>
        <w:ind w:left="714" w:hanging="357"/>
        <w:rPr>
          <w:rStyle w:val="SWALinkChar"/>
          <w:rFonts w:eastAsiaTheme="majorEastAsia"/>
          <w:i/>
        </w:rPr>
      </w:pPr>
      <w:bookmarkStart w:id="5" w:name="_Hlk79738017"/>
      <w:r w:rsidRPr="00C314EB">
        <w:rPr>
          <w:rStyle w:val="SWALinkChar"/>
          <w:rFonts w:eastAsiaTheme="majorEastAsia"/>
          <w:i/>
        </w:rPr>
        <w:t>Work health and safety performance</w:t>
      </w:r>
      <w:r w:rsidRPr="00990613">
        <w:rPr>
          <w:rStyle w:val="SWALinkChar"/>
          <w:rFonts w:eastAsiaTheme="majorEastAsia"/>
          <w:iCs/>
          <w:u w:val="none"/>
        </w:rPr>
        <w:t xml:space="preserve"> – provides an overview of WHS performance across Australia and New Zealand through analysing trends in serious claim rates and work-related fatalities across jurisdictions.</w:t>
      </w:r>
    </w:p>
    <w:p w14:paraId="1031C61D" w14:textId="77777777" w:rsidR="00990613" w:rsidRPr="00C314EB" w:rsidRDefault="00990613" w:rsidP="00990613">
      <w:pPr>
        <w:pStyle w:val="ListParagraph"/>
        <w:numPr>
          <w:ilvl w:val="0"/>
          <w:numId w:val="9"/>
        </w:numPr>
        <w:tabs>
          <w:tab w:val="left" w:pos="709"/>
        </w:tabs>
        <w:spacing w:before="120" w:after="120"/>
        <w:ind w:left="714" w:hanging="357"/>
        <w:rPr>
          <w:rStyle w:val="SWALinkChar"/>
          <w:rFonts w:eastAsiaTheme="majorEastAsia"/>
          <w:i/>
        </w:rPr>
      </w:pPr>
      <w:bookmarkStart w:id="6" w:name="_Hlk83800420"/>
      <w:r w:rsidRPr="00C314EB">
        <w:rPr>
          <w:rStyle w:val="SWALinkChar"/>
          <w:rFonts w:eastAsiaTheme="majorEastAsia"/>
          <w:i/>
        </w:rPr>
        <w:t>Work health and safety compliance and enforcement activities</w:t>
      </w:r>
      <w:r w:rsidRPr="00990613">
        <w:rPr>
          <w:rStyle w:val="SWALinkChar"/>
          <w:rFonts w:eastAsiaTheme="majorEastAsia"/>
          <w:i/>
          <w:u w:val="none"/>
        </w:rPr>
        <w:t xml:space="preserve"> </w:t>
      </w:r>
      <w:bookmarkEnd w:id="6"/>
      <w:r w:rsidRPr="00990613">
        <w:rPr>
          <w:rStyle w:val="SWALinkChar"/>
          <w:rFonts w:eastAsiaTheme="majorEastAsia"/>
          <w:iCs/>
          <w:u w:val="none"/>
        </w:rPr>
        <w:t xml:space="preserve">– includes a jurisdictional comparison of workplace interventions, inspectorate activity, safety notices, enforceable undertakings, legal </w:t>
      </w:r>
      <w:proofErr w:type="gramStart"/>
      <w:r w:rsidRPr="00990613">
        <w:rPr>
          <w:rStyle w:val="SWALinkChar"/>
          <w:rFonts w:eastAsiaTheme="majorEastAsia"/>
          <w:iCs/>
          <w:u w:val="none"/>
        </w:rPr>
        <w:t>proceedings</w:t>
      </w:r>
      <w:proofErr w:type="gramEnd"/>
      <w:r w:rsidRPr="00990613">
        <w:rPr>
          <w:rStyle w:val="SWALinkChar"/>
          <w:rFonts w:eastAsiaTheme="majorEastAsia"/>
          <w:iCs/>
          <w:u w:val="none"/>
        </w:rPr>
        <w:t xml:space="preserve"> and fines.</w:t>
      </w:r>
    </w:p>
    <w:p w14:paraId="608A0912" w14:textId="272FA65D" w:rsidR="00990613" w:rsidRPr="00C314EB" w:rsidRDefault="00990613" w:rsidP="00990613">
      <w:pPr>
        <w:pStyle w:val="ListParagraph"/>
        <w:numPr>
          <w:ilvl w:val="0"/>
          <w:numId w:val="9"/>
        </w:numPr>
        <w:tabs>
          <w:tab w:val="left" w:pos="709"/>
        </w:tabs>
        <w:spacing w:before="120" w:after="120"/>
        <w:ind w:left="714" w:hanging="357"/>
        <w:rPr>
          <w:rStyle w:val="SWALinkChar"/>
          <w:rFonts w:eastAsiaTheme="majorEastAsia"/>
          <w:i/>
        </w:rPr>
      </w:pPr>
      <w:r w:rsidRPr="00C314EB">
        <w:rPr>
          <w:rStyle w:val="SWALinkChar"/>
          <w:rFonts w:eastAsiaTheme="majorEastAsia"/>
          <w:i/>
        </w:rPr>
        <w:t>Workers’ compensation premiums</w:t>
      </w:r>
      <w:r w:rsidRPr="00990613">
        <w:rPr>
          <w:rStyle w:val="SWALinkChar"/>
          <w:rFonts w:eastAsiaTheme="majorEastAsia"/>
          <w:i/>
          <w:u w:val="none"/>
        </w:rPr>
        <w:t xml:space="preserve"> - </w:t>
      </w:r>
      <w:r w:rsidRPr="00990613">
        <w:rPr>
          <w:rStyle w:val="SWALinkChar"/>
          <w:rFonts w:eastAsiaTheme="majorEastAsia"/>
          <w:iCs/>
          <w:u w:val="none"/>
        </w:rPr>
        <w:t>includes a national and jurisdictional overview of the standardised average premium rates by industry in the past 5 years</w:t>
      </w:r>
      <w:r>
        <w:rPr>
          <w:rStyle w:val="SWALinkChar"/>
          <w:rFonts w:eastAsiaTheme="majorEastAsia"/>
          <w:iCs/>
          <w:u w:val="none"/>
        </w:rPr>
        <w:t xml:space="preserve"> </w:t>
      </w:r>
      <w:r w:rsidRPr="00990613">
        <w:rPr>
          <w:rStyle w:val="SWALinkChar"/>
          <w:rFonts w:eastAsiaTheme="majorEastAsia"/>
          <w:iCs/>
          <w:u w:val="none"/>
        </w:rPr>
        <w:t>(this section).</w:t>
      </w:r>
    </w:p>
    <w:p w14:paraId="2A8ADCC5" w14:textId="2F74C30D" w:rsidR="00990613" w:rsidRPr="00C314EB" w:rsidRDefault="00990613" w:rsidP="00990613">
      <w:pPr>
        <w:pStyle w:val="ListParagraph"/>
        <w:numPr>
          <w:ilvl w:val="0"/>
          <w:numId w:val="9"/>
        </w:numPr>
        <w:tabs>
          <w:tab w:val="left" w:pos="709"/>
        </w:tabs>
        <w:spacing w:before="120" w:after="120"/>
        <w:ind w:left="714" w:hanging="357"/>
        <w:rPr>
          <w:rStyle w:val="SWALinkChar"/>
          <w:rFonts w:eastAsiaTheme="majorEastAsia"/>
          <w:i/>
        </w:rPr>
      </w:pPr>
      <w:r w:rsidRPr="00C314EB">
        <w:rPr>
          <w:rStyle w:val="SWALinkChar"/>
          <w:rFonts w:eastAsiaTheme="majorEastAsia"/>
          <w:i/>
        </w:rPr>
        <w:t xml:space="preserve">Workers’ compensation funding </w:t>
      </w:r>
      <w:r>
        <w:rPr>
          <w:rStyle w:val="SWALinkChar"/>
          <w:rFonts w:eastAsiaTheme="majorEastAsia"/>
          <w:i/>
        </w:rPr>
        <w:t>ratios</w:t>
      </w:r>
      <w:r w:rsidRPr="00990613">
        <w:rPr>
          <w:rStyle w:val="SWALinkChar"/>
          <w:rFonts w:eastAsiaTheme="majorEastAsia"/>
          <w:i/>
          <w:u w:val="none"/>
        </w:rPr>
        <w:t xml:space="preserve"> – </w:t>
      </w:r>
      <w:r w:rsidRPr="00990613">
        <w:rPr>
          <w:rStyle w:val="SWALinkChar"/>
          <w:rFonts w:eastAsiaTheme="majorEastAsia"/>
          <w:iCs/>
          <w:u w:val="none"/>
        </w:rPr>
        <w:t>compares the differences in scheme funding arrangements.</w:t>
      </w:r>
    </w:p>
    <w:p w14:paraId="2C443441" w14:textId="72B54714" w:rsidR="00990613" w:rsidRPr="00990613" w:rsidRDefault="00990613" w:rsidP="00990613">
      <w:pPr>
        <w:pStyle w:val="ListParagraph"/>
        <w:numPr>
          <w:ilvl w:val="0"/>
          <w:numId w:val="9"/>
        </w:numPr>
        <w:tabs>
          <w:tab w:val="left" w:pos="709"/>
        </w:tabs>
        <w:spacing w:before="120" w:after="120"/>
        <w:ind w:left="714" w:hanging="357"/>
        <w:rPr>
          <w:rStyle w:val="SWALinkChar"/>
          <w:rFonts w:eastAsiaTheme="majorEastAsia"/>
          <w:i/>
          <w:u w:val="none"/>
        </w:rPr>
      </w:pPr>
      <w:r w:rsidRPr="00C314EB">
        <w:rPr>
          <w:rStyle w:val="SWALinkChar"/>
          <w:rFonts w:eastAsiaTheme="majorEastAsia"/>
          <w:i/>
        </w:rPr>
        <w:t>Workers’ compensation disputes</w:t>
      </w:r>
      <w:r w:rsidRPr="00990613">
        <w:rPr>
          <w:rStyle w:val="SWALinkChar"/>
          <w:rFonts w:eastAsiaTheme="majorEastAsia"/>
          <w:i/>
          <w:u w:val="none"/>
        </w:rPr>
        <w:t xml:space="preserve"> </w:t>
      </w:r>
      <w:r w:rsidRPr="00990613">
        <w:rPr>
          <w:rStyle w:val="SWALinkChar"/>
          <w:rFonts w:eastAsiaTheme="majorEastAsia"/>
          <w:iCs/>
          <w:u w:val="none"/>
        </w:rPr>
        <w:t>– includes information about disputes against an insurer’s decision or decisions relating to compensation.</w:t>
      </w:r>
    </w:p>
    <w:bookmarkEnd w:id="5"/>
    <w:p w14:paraId="511E7BE8" w14:textId="64F5FAD6" w:rsidR="00990613" w:rsidRDefault="00990613" w:rsidP="00990613">
      <w:r w:rsidRPr="00C314EB">
        <w:t xml:space="preserve">Previous editions of the CPM </w:t>
      </w:r>
      <w:r w:rsidRPr="00B37873">
        <w:t xml:space="preserve">report also included </w:t>
      </w:r>
      <w:bookmarkStart w:id="7" w:name="_Hlk80886161"/>
      <w:r>
        <w:t xml:space="preserve">data on </w:t>
      </w:r>
      <w:r w:rsidRPr="00FD0209">
        <w:t>Workers’ Compensation expenditure (</w:t>
      </w:r>
      <w:r>
        <w:t xml:space="preserve">under the </w:t>
      </w:r>
      <w:r w:rsidRPr="00E16418">
        <w:rPr>
          <w:rStyle w:val="SWALinkChar"/>
          <w:rFonts w:eastAsiaTheme="majorEastAsia"/>
          <w:i/>
          <w:u w:val="none"/>
        </w:rPr>
        <w:t xml:space="preserve">Workers’ compensation funding – assets, </w:t>
      </w:r>
      <w:proofErr w:type="gramStart"/>
      <w:r w:rsidRPr="00E16418">
        <w:rPr>
          <w:rStyle w:val="SWALinkChar"/>
          <w:rFonts w:eastAsiaTheme="majorEastAsia"/>
          <w:i/>
          <w:u w:val="none"/>
        </w:rPr>
        <w:t>liabilities</w:t>
      </w:r>
      <w:proofErr w:type="gramEnd"/>
      <w:r w:rsidRPr="00E16418">
        <w:rPr>
          <w:rStyle w:val="SWALinkChar"/>
          <w:rFonts w:eastAsiaTheme="majorEastAsia"/>
          <w:i/>
          <w:u w:val="none"/>
        </w:rPr>
        <w:t xml:space="preserve"> and expenditure </w:t>
      </w:r>
      <w:r w:rsidRPr="00E16418">
        <w:rPr>
          <w:rStyle w:val="SWALinkChar"/>
          <w:rFonts w:eastAsiaTheme="majorEastAsia"/>
          <w:iCs/>
          <w:u w:val="none"/>
        </w:rPr>
        <w:t>section</w:t>
      </w:r>
      <w:r w:rsidRPr="00990613">
        <w:rPr>
          <w:rStyle w:val="SWALinkChar"/>
          <w:rFonts w:eastAsiaTheme="majorEastAsia"/>
          <w:iCs/>
        </w:rPr>
        <w:t>)</w:t>
      </w:r>
      <w:r>
        <w:t xml:space="preserve"> and</w:t>
      </w:r>
      <w:r w:rsidRPr="00FD0209">
        <w:t xml:space="preserve"> </w:t>
      </w:r>
      <w:r>
        <w:t xml:space="preserve">scenarios that </w:t>
      </w:r>
      <w:r w:rsidRPr="00FD0209">
        <w:t>illustrate</w:t>
      </w:r>
      <w:r>
        <w:t>d</w:t>
      </w:r>
      <w:r w:rsidRPr="00FD0209">
        <w:t xml:space="preserve"> the differences in entitlement levels across jurisdictions </w:t>
      </w:r>
      <w:r>
        <w:t>(under t</w:t>
      </w:r>
      <w:r w:rsidRPr="004345ED">
        <w:t xml:space="preserve">he </w:t>
      </w:r>
      <w:r w:rsidRPr="004345ED">
        <w:rPr>
          <w:i/>
          <w:iCs/>
        </w:rPr>
        <w:t xml:space="preserve">Entitlements under workers’ compensation </w:t>
      </w:r>
      <w:r w:rsidRPr="004345ED">
        <w:t xml:space="preserve">section). This information will be moved to the </w:t>
      </w:r>
      <w:hyperlink r:id="rId12" w:history="1">
        <w:r w:rsidRPr="004345ED">
          <w:rPr>
            <w:rStyle w:val="Hyperlink"/>
            <w:i/>
            <w:iCs/>
            <w:color w:val="auto"/>
          </w:rPr>
          <w:t>Comparison of workers’ compensation arrangements in Australia and New Zealand</w:t>
        </w:r>
      </w:hyperlink>
      <w:r w:rsidRPr="004345ED">
        <w:t xml:space="preserve"> which provides information biennially about workers’ compensation arrangements and the differences between schemes in Australia and </w:t>
      </w:r>
      <w:r w:rsidRPr="00990613">
        <w:t>New Zealand.</w:t>
      </w:r>
    </w:p>
    <w:bookmarkEnd w:id="7"/>
    <w:p w14:paraId="553F0B83" w14:textId="0D62512C" w:rsidR="00504A3A" w:rsidRPr="00504A3A" w:rsidRDefault="00504A3A" w:rsidP="00203FD5">
      <w:pPr>
        <w:rPr>
          <w:i/>
          <w:iCs/>
          <w:color w:val="000000" w:themeColor="text1"/>
        </w:rPr>
      </w:pPr>
      <w:r w:rsidRPr="00504A3A">
        <w:rPr>
          <w:i/>
          <w:iCs/>
          <w:color w:val="000000" w:themeColor="text1"/>
        </w:rPr>
        <w:t>About the data</w:t>
      </w:r>
    </w:p>
    <w:p w14:paraId="6EA972A2" w14:textId="5EB53517" w:rsidR="00504A3A" w:rsidRDefault="00BD427B" w:rsidP="00203FD5">
      <w:r w:rsidRPr="00502641">
        <w:t xml:space="preserve">Comparisons of CPM measures/outcomes across the jurisdictions workers’ compensation schemes should be made with caution due to the differences in design, coverage, </w:t>
      </w:r>
      <w:proofErr w:type="gramStart"/>
      <w:r w:rsidRPr="00502641">
        <w:t>definitions</w:t>
      </w:r>
      <w:proofErr w:type="gramEnd"/>
      <w:r w:rsidRPr="00502641">
        <w:t xml:space="preserve"> and processes. Readers may find the </w:t>
      </w:r>
      <w:hyperlink r:id="rId13" w:history="1">
        <w:r w:rsidRPr="00E718C4">
          <w:rPr>
            <w:rStyle w:val="Hyperlink"/>
            <w:i/>
            <w:iCs/>
            <w:color w:val="auto"/>
          </w:rPr>
          <w:t>Comparison of workers’ compensation arrangements in Australia and New Zealand</w:t>
        </w:r>
      </w:hyperlink>
      <w:r w:rsidRPr="00E718C4">
        <w:rPr>
          <w:rStyle w:val="Hyperlink"/>
          <w:i/>
          <w:iCs/>
          <w:color w:val="auto"/>
        </w:rPr>
        <w:t xml:space="preserve"> </w:t>
      </w:r>
      <w:r w:rsidRPr="00502641">
        <w:t>useful in comparing the differences in key aspects of each scheme. Additionally</w:t>
      </w:r>
      <w:r>
        <w:t>, d</w:t>
      </w:r>
      <w:r w:rsidR="00504A3A" w:rsidRPr="00504A3A">
        <w:rPr>
          <w:color w:val="000000" w:themeColor="text1"/>
        </w:rPr>
        <w:t xml:space="preserve">ata in this publication may differ from jurisdictional </w:t>
      </w:r>
      <w:r w:rsidR="00504A3A">
        <w:t xml:space="preserve">annual reports due to the use of different definitions and the application of adjustment factors to aid in the comparability of data. </w:t>
      </w:r>
    </w:p>
    <w:p w14:paraId="6A5D57D2" w14:textId="77777777" w:rsidR="00F972A0" w:rsidRDefault="00F972A0" w:rsidP="00203FD5">
      <w:pPr>
        <w:pStyle w:val="SWABullets"/>
        <w:numPr>
          <w:ilvl w:val="0"/>
          <w:numId w:val="0"/>
        </w:numPr>
      </w:pPr>
      <w:r>
        <w:t>The CPM does not currently include information or data from other industry-specific regulators that have responsibilities with respect to WHS and workers’ compensation. These include national industry-based regulators with compliance and enforcement roles such as the National Heavy Vehicle Regulator, the National Rail Safety Regulator and the National Offshore Petroleum Safety and Environmental Management Authority, and other agencies with responsibility for industry</w:t>
      </w:r>
      <w:r>
        <w:noBreakHyphen/>
        <w:t>specific compensation claims. Further information on these regulators can be found on their respective websites.</w:t>
      </w:r>
    </w:p>
    <w:p w14:paraId="4EB549EA" w14:textId="2DCCD12A" w:rsidR="00A45F33" w:rsidRDefault="004A66C0" w:rsidP="00203FD5">
      <w:pPr>
        <w:rPr>
          <w:b/>
        </w:rPr>
        <w:sectPr w:rsidR="00A45F33" w:rsidSect="00F87311">
          <w:headerReference w:type="first" r:id="rId14"/>
          <w:footerReference w:type="first" r:id="rId15"/>
          <w:pgSz w:w="11906" w:h="16838"/>
          <w:pgMar w:top="993" w:right="1133" w:bottom="1418" w:left="1276" w:header="708" w:footer="708" w:gutter="0"/>
          <w:cols w:space="242"/>
          <w:titlePg/>
          <w:docGrid w:linePitch="360"/>
        </w:sectPr>
      </w:pPr>
      <w:r w:rsidRPr="004A66C0">
        <w:t>In this report ‘Australian Government’ is used for indicators relating to WHS and workers’ compensation matters under the Australian Government jurisdiction, while ‘Comcare’ is used for the indicators relating to premium rates</w:t>
      </w:r>
      <w:r w:rsidR="009B553F">
        <w:t xml:space="preserve"> and disputes</w:t>
      </w:r>
      <w:r w:rsidRPr="004A66C0">
        <w:t>.</w:t>
      </w:r>
    </w:p>
    <w:bookmarkEnd w:id="3"/>
    <w:p w14:paraId="2EA49000" w14:textId="12E6C86C" w:rsidR="00E22C81" w:rsidRPr="00E22C81" w:rsidRDefault="00E22C81" w:rsidP="00785578"/>
    <w:p w14:paraId="641A3435" w14:textId="08576F0B" w:rsidR="00FE79B5" w:rsidRPr="004B79B6" w:rsidRDefault="00FE79B5" w:rsidP="00FE79B5">
      <w:pPr>
        <w:spacing w:before="0" w:after="120" w:line="276" w:lineRule="auto"/>
        <w:jc w:val="left"/>
        <w:rPr>
          <w:noProof/>
        </w:rPr>
      </w:pPr>
    </w:p>
    <w:p w14:paraId="018DA2BB" w14:textId="07D4B5BA" w:rsidR="006D31F5" w:rsidRPr="005C2E0B" w:rsidRDefault="001E4ABF" w:rsidP="00763976">
      <w:pPr>
        <w:pStyle w:val="SWASectionnumberingheading"/>
      </w:pPr>
      <w:bookmarkStart w:id="8" w:name="_Toc80289670"/>
      <w:r>
        <w:t xml:space="preserve"> </w:t>
      </w:r>
      <w:bookmarkStart w:id="9" w:name="_Toc153368247"/>
      <w:r w:rsidR="006D31F5" w:rsidRPr="005C2E0B">
        <w:t>Workers’ compensation premiums</w:t>
      </w:r>
      <w:bookmarkEnd w:id="8"/>
      <w:bookmarkEnd w:id="9"/>
      <w:r w:rsidR="00A13926">
        <w:t xml:space="preserve"> </w:t>
      </w:r>
    </w:p>
    <w:p w14:paraId="31A89AFA" w14:textId="7D91DBD0" w:rsidR="00117CAF" w:rsidRPr="004345ED" w:rsidRDefault="00117CAF" w:rsidP="009968C2">
      <w:pPr>
        <w:pStyle w:val="BodyJustified"/>
      </w:pPr>
      <w:r w:rsidRPr="004345ED">
        <w:t xml:space="preserve">Workers’ compensation </w:t>
      </w:r>
      <w:r w:rsidR="00187D32" w:rsidRPr="004345ED">
        <w:t xml:space="preserve">is a compulsory form of insurance for all employers in Australia. It provides protection to employees if they suffer a work-related injury or </w:t>
      </w:r>
      <w:r w:rsidR="00EE5F73" w:rsidRPr="004345ED">
        <w:t>illness</w:t>
      </w:r>
      <w:r w:rsidR="00187D32" w:rsidRPr="004345ED">
        <w:t xml:space="preserve">. Workers’ compensation </w:t>
      </w:r>
      <w:r w:rsidRPr="004345ED">
        <w:t xml:space="preserve">premiums are paid by employers </w:t>
      </w:r>
      <w:r w:rsidR="00187D32" w:rsidRPr="004345ED">
        <w:t xml:space="preserve">for this insurance, with the premium generally determined based on the amount of wages paid, as well as the industry and claim history of the employer. </w:t>
      </w:r>
    </w:p>
    <w:p w14:paraId="2C4E47C2" w14:textId="2C5032C7" w:rsidR="006D31F5" w:rsidRPr="004345ED" w:rsidRDefault="006D31F5" w:rsidP="009968C2">
      <w:pPr>
        <w:pStyle w:val="BodyJustified"/>
      </w:pPr>
      <w:r w:rsidRPr="004345ED">
        <w:t xml:space="preserve">The </w:t>
      </w:r>
      <w:r w:rsidR="00643391" w:rsidRPr="004345ED">
        <w:t xml:space="preserve">premium </w:t>
      </w:r>
      <w:r w:rsidRPr="004345ED">
        <w:t xml:space="preserve">rates in this </w:t>
      </w:r>
      <w:r w:rsidR="00990613" w:rsidRPr="004345ED">
        <w:t>section</w:t>
      </w:r>
      <w:r w:rsidRPr="004345ED">
        <w:t xml:space="preserve"> are for policies that provided coverage during the financial years</w:t>
      </w:r>
      <w:r w:rsidR="00117CAF" w:rsidRPr="004345ED">
        <w:t xml:space="preserve"> 201</w:t>
      </w:r>
      <w:r w:rsidR="003E0DEF" w:rsidRPr="004345ED">
        <w:t>7</w:t>
      </w:r>
      <w:r w:rsidR="00312237" w:rsidRPr="004345ED">
        <w:noBreakHyphen/>
      </w:r>
      <w:r w:rsidR="00A92B53" w:rsidRPr="004345ED">
        <w:t>1</w:t>
      </w:r>
      <w:r w:rsidR="003E0DEF" w:rsidRPr="004345ED">
        <w:t>8</w:t>
      </w:r>
      <w:r w:rsidR="00643391" w:rsidRPr="004345ED">
        <w:t xml:space="preserve"> </w:t>
      </w:r>
      <w:r w:rsidR="00117CAF" w:rsidRPr="004345ED">
        <w:t>to</w:t>
      </w:r>
      <w:r w:rsidR="00643391" w:rsidRPr="004345ED">
        <w:t xml:space="preserve"> </w:t>
      </w:r>
      <w:r w:rsidR="00117CAF" w:rsidRPr="004345ED">
        <w:t>20</w:t>
      </w:r>
      <w:r w:rsidR="00933A5F" w:rsidRPr="004345ED">
        <w:t>2</w:t>
      </w:r>
      <w:r w:rsidR="003E0DEF" w:rsidRPr="004345ED">
        <w:t>1</w:t>
      </w:r>
      <w:r w:rsidR="00A92B53" w:rsidRPr="004345ED">
        <w:t>-2</w:t>
      </w:r>
      <w:r w:rsidR="003E0DEF" w:rsidRPr="004345ED">
        <w:t>2</w:t>
      </w:r>
      <w:r w:rsidRPr="004345ED">
        <w:t xml:space="preserve">. The premium rates reported are ‘earned premium’. Earned premium is defined as the amount allocated for cover in a financial year from premiums collected during the previous and current financial years, while written premium is defined as the amount of premium recorded for a policy at the time it is issued. The premiums reported are allocated for defined periods of risk, irrespective of when they were actually paid, enabling rates to be compared for each financial year. Goods and Services Tax charged on premiums is not included in the reported rates as most Australian employers recoup part or </w:t>
      </w:r>
      <w:r w:rsidR="00A92B53" w:rsidRPr="004345ED">
        <w:t>all</w:t>
      </w:r>
      <w:r w:rsidRPr="004345ED">
        <w:t xml:space="preserve"> this tax through input tax credits. </w:t>
      </w:r>
    </w:p>
    <w:p w14:paraId="5223A1C6" w14:textId="2578B13A" w:rsidR="006D31F5" w:rsidRDefault="006D31F5" w:rsidP="00763976">
      <w:pPr>
        <w:pStyle w:val="SWASectionnum2"/>
      </w:pPr>
      <w:bookmarkStart w:id="10" w:name="_Toc476564184"/>
      <w:bookmarkStart w:id="11" w:name="_Toc80289671"/>
      <w:bookmarkStart w:id="12" w:name="_Toc153368248"/>
      <w:r w:rsidRPr="00763976">
        <w:t>Standardised average premium rates</w:t>
      </w:r>
      <w:bookmarkEnd w:id="10"/>
      <w:r w:rsidRPr="00763976">
        <w:t xml:space="preserve"> </w:t>
      </w:r>
      <w:r w:rsidR="00A72B7E">
        <w:t>by jurisdiction</w:t>
      </w:r>
      <w:bookmarkEnd w:id="11"/>
      <w:bookmarkEnd w:id="12"/>
      <w:r w:rsidR="00C3012D">
        <w:t xml:space="preserve"> </w:t>
      </w:r>
    </w:p>
    <w:p w14:paraId="36F3BA22" w14:textId="61A034D1" w:rsidR="008B072E" w:rsidRPr="00471348" w:rsidRDefault="000467E1" w:rsidP="0053393D">
      <w:pPr>
        <w:rPr>
          <w:i/>
          <w:iCs/>
        </w:rPr>
      </w:pPr>
      <w:r>
        <w:rPr>
          <w:i/>
          <w:iCs/>
        </w:rPr>
        <w:t>About average premium rates</w:t>
      </w:r>
    </w:p>
    <w:p w14:paraId="084CA248" w14:textId="1AC3470E" w:rsidR="002524A1" w:rsidRPr="004345ED" w:rsidRDefault="00B00E29" w:rsidP="009968C2">
      <w:pPr>
        <w:pStyle w:val="BodyJustified"/>
      </w:pPr>
      <w:r w:rsidRPr="004345ED">
        <w:t>P</w:t>
      </w:r>
      <w:r w:rsidR="002524A1" w:rsidRPr="004345ED">
        <w:t xml:space="preserve">remium rates published </w:t>
      </w:r>
      <w:r w:rsidRPr="004345ED">
        <w:t xml:space="preserve">also vary to those published </w:t>
      </w:r>
      <w:r w:rsidR="002524A1" w:rsidRPr="004345ED">
        <w:t xml:space="preserve">by the jurisdictions as adjustments are made to the data to enable jurisdictional comparisons. </w:t>
      </w:r>
      <w:r w:rsidR="00643391" w:rsidRPr="004345ED">
        <w:t>To increase comparability</w:t>
      </w:r>
      <w:r w:rsidRPr="004345ED">
        <w:t>,</w:t>
      </w:r>
      <w:r w:rsidR="00643391" w:rsidRPr="004345ED">
        <w:t xml:space="preserve"> </w:t>
      </w:r>
      <w:r w:rsidR="000467E1" w:rsidRPr="004345ED">
        <w:t xml:space="preserve">adjustments have been applied </w:t>
      </w:r>
      <w:r w:rsidR="00643391" w:rsidRPr="004345ED">
        <w:t xml:space="preserve">to </w:t>
      </w:r>
      <w:r w:rsidR="000467E1" w:rsidRPr="004345ED">
        <w:t>this indicator</w:t>
      </w:r>
      <w:r w:rsidR="00643391" w:rsidRPr="004345ED">
        <w:t xml:space="preserve"> including</w:t>
      </w:r>
      <w:r w:rsidR="000467E1" w:rsidRPr="004345ED">
        <w:t xml:space="preserve">: </w:t>
      </w:r>
    </w:p>
    <w:p w14:paraId="3AFFCAC8" w14:textId="064C6F15" w:rsidR="00221671" w:rsidRPr="004345ED" w:rsidRDefault="00221671" w:rsidP="009968C2">
      <w:pPr>
        <w:pStyle w:val="BodyJustified"/>
        <w:numPr>
          <w:ilvl w:val="0"/>
          <w:numId w:val="10"/>
        </w:numPr>
      </w:pPr>
      <w:r w:rsidRPr="004345ED">
        <w:t>the use of Australian and New Zealand Standard Industrial Classification (ANZSIC) 2006 instead of ANZSIC 1993</w:t>
      </w:r>
      <w:r w:rsidR="00FF75B6" w:rsidRPr="004345ED">
        <w:t>,</w:t>
      </w:r>
    </w:p>
    <w:p w14:paraId="4F96F679" w14:textId="3D4E2D01" w:rsidR="002524A1" w:rsidRPr="004345ED" w:rsidRDefault="000467E1" w:rsidP="009968C2">
      <w:pPr>
        <w:pStyle w:val="BodyJustified"/>
        <w:numPr>
          <w:ilvl w:val="0"/>
          <w:numId w:val="10"/>
        </w:numPr>
      </w:pPr>
      <w:r w:rsidRPr="004345ED">
        <w:t>the exclusion of provision for coverage of journey claims</w:t>
      </w:r>
      <w:r w:rsidR="00FF75B6" w:rsidRPr="004345ED">
        <w:t>,</w:t>
      </w:r>
    </w:p>
    <w:p w14:paraId="761BA239" w14:textId="7B2157ED" w:rsidR="002524A1" w:rsidRPr="004345ED" w:rsidRDefault="000467E1" w:rsidP="009968C2">
      <w:pPr>
        <w:pStyle w:val="BodyJustified"/>
        <w:numPr>
          <w:ilvl w:val="0"/>
          <w:numId w:val="10"/>
        </w:numPr>
      </w:pPr>
      <w:r w:rsidRPr="004345ED">
        <w:t>the inclusion of self-insurers</w:t>
      </w:r>
      <w:r w:rsidR="00FF75B6" w:rsidRPr="004345ED">
        <w:t>,</w:t>
      </w:r>
    </w:p>
    <w:p w14:paraId="13CCFC49" w14:textId="35270F80" w:rsidR="002524A1" w:rsidRPr="004345ED" w:rsidRDefault="000467E1" w:rsidP="009968C2">
      <w:pPr>
        <w:pStyle w:val="BodyJustified"/>
        <w:numPr>
          <w:ilvl w:val="0"/>
          <w:numId w:val="10"/>
        </w:numPr>
      </w:pPr>
      <w:r w:rsidRPr="004345ED">
        <w:t>the inclusion of superannuation as part of remuneration</w:t>
      </w:r>
      <w:r w:rsidR="002524A1" w:rsidRPr="004345ED">
        <w:t>,</w:t>
      </w:r>
      <w:r w:rsidRPr="004345ED">
        <w:t xml:space="preserve"> and </w:t>
      </w:r>
    </w:p>
    <w:p w14:paraId="5ACB1D60" w14:textId="77777777" w:rsidR="002524A1" w:rsidRPr="004345ED" w:rsidRDefault="000467E1" w:rsidP="009968C2">
      <w:pPr>
        <w:pStyle w:val="BodyJustified"/>
        <w:numPr>
          <w:ilvl w:val="0"/>
          <w:numId w:val="10"/>
        </w:numPr>
      </w:pPr>
      <w:r w:rsidRPr="004345ED">
        <w:t xml:space="preserve">the </w:t>
      </w:r>
      <w:proofErr w:type="spellStart"/>
      <w:r w:rsidRPr="004345ED">
        <w:t>standardisation</w:t>
      </w:r>
      <w:proofErr w:type="spellEnd"/>
      <w:r w:rsidRPr="004345ED">
        <w:t xml:space="preserve"> of non-compensable excesses imposed by each scheme. </w:t>
      </w:r>
    </w:p>
    <w:p w14:paraId="54E0A4BB" w14:textId="327AA137" w:rsidR="00F25DCA" w:rsidRPr="004345ED" w:rsidRDefault="000467E1" w:rsidP="00CB70F9">
      <w:pPr>
        <w:rPr>
          <w:szCs w:val="20"/>
        </w:rPr>
      </w:pPr>
      <w:r w:rsidRPr="004345ED">
        <w:rPr>
          <w:szCs w:val="20"/>
        </w:rPr>
        <w:t xml:space="preserve">The effect of each of these adjustments is shown in </w:t>
      </w:r>
      <w:r w:rsidRPr="004345ED">
        <w:rPr>
          <w:i/>
          <w:iCs/>
          <w:szCs w:val="20"/>
        </w:rPr>
        <w:t>Appendix 1 – Table 2: Effect of adjustment factors on premium rates in 20</w:t>
      </w:r>
      <w:r w:rsidR="00933A5F" w:rsidRPr="004345ED">
        <w:rPr>
          <w:i/>
          <w:iCs/>
          <w:szCs w:val="20"/>
        </w:rPr>
        <w:t>2</w:t>
      </w:r>
      <w:r w:rsidR="00C058EC" w:rsidRPr="004345ED">
        <w:rPr>
          <w:i/>
          <w:iCs/>
          <w:szCs w:val="20"/>
        </w:rPr>
        <w:t>1</w:t>
      </w:r>
      <w:r w:rsidR="00AB66C7" w:rsidRPr="004345ED">
        <w:rPr>
          <w:i/>
          <w:iCs/>
          <w:szCs w:val="20"/>
        </w:rPr>
        <w:t>-2</w:t>
      </w:r>
      <w:r w:rsidR="00C058EC" w:rsidRPr="004345ED">
        <w:rPr>
          <w:i/>
          <w:iCs/>
          <w:szCs w:val="20"/>
        </w:rPr>
        <w:t>2</w:t>
      </w:r>
      <w:r w:rsidRPr="004345ED">
        <w:rPr>
          <w:szCs w:val="20"/>
        </w:rPr>
        <w:t xml:space="preserve">. </w:t>
      </w:r>
    </w:p>
    <w:p w14:paraId="4C5D4770" w14:textId="2088916F" w:rsidR="007C1A94" w:rsidRPr="004345ED" w:rsidRDefault="007C1A94" w:rsidP="009968C2">
      <w:pPr>
        <w:pStyle w:val="BodyJustified"/>
      </w:pPr>
      <w:r w:rsidRPr="004345ED">
        <w:t xml:space="preserve">Information about jurisdictional workers’ compensation arrangements is available from the </w:t>
      </w:r>
      <w:hyperlink r:id="rId16" w:history="1">
        <w:r w:rsidR="00F85465" w:rsidRPr="004345ED">
          <w:rPr>
            <w:rStyle w:val="Hyperlink"/>
            <w:i/>
            <w:iCs/>
            <w:color w:val="auto"/>
          </w:rPr>
          <w:t>Comparison of Workers’ Compensation Arrangements in Australia and New Zealand</w:t>
        </w:r>
      </w:hyperlink>
      <w:r w:rsidRPr="004345ED">
        <w:t xml:space="preserve"> publication that can be found on the </w:t>
      </w:r>
      <w:hyperlink r:id="rId17" w:history="1">
        <w:r w:rsidRPr="004345ED">
          <w:rPr>
            <w:u w:val="single"/>
          </w:rPr>
          <w:t>Safe Work Australia</w:t>
        </w:r>
      </w:hyperlink>
      <w:r w:rsidRPr="004345ED">
        <w:t xml:space="preserve"> website.</w:t>
      </w:r>
    </w:p>
    <w:p w14:paraId="4A796425" w14:textId="77777777" w:rsidR="00FA30E4" w:rsidRDefault="00FA30E4" w:rsidP="00FA30E4">
      <w:pPr>
        <w:pStyle w:val="SWASectionnumberingheading"/>
        <w:numPr>
          <w:ilvl w:val="0"/>
          <w:numId w:val="0"/>
        </w:numPr>
        <w:rPr>
          <w:sz w:val="20"/>
          <w:szCs w:val="20"/>
        </w:rPr>
      </w:pPr>
      <w:bookmarkStart w:id="13" w:name="_Toc153368249"/>
      <w:r w:rsidRPr="00376FAA">
        <w:rPr>
          <w:sz w:val="20"/>
          <w:szCs w:val="20"/>
        </w:rPr>
        <w:t>Standardised average premium rates (including insured and self-insured sectors) by jurisdiction</w:t>
      </w:r>
      <w:r>
        <w:rPr>
          <w:sz w:val="20"/>
          <w:szCs w:val="20"/>
        </w:rPr>
        <w:t xml:space="preserve"> (previously indicator 13)</w:t>
      </w:r>
      <w:bookmarkEnd w:id="13"/>
    </w:p>
    <w:p w14:paraId="2E03B5AF" w14:textId="77777777" w:rsidR="00FA30E4" w:rsidRPr="00C058EC" w:rsidRDefault="00FA30E4" w:rsidP="00FA30E4">
      <w:r>
        <w:rPr>
          <w:noProof/>
        </w:rPr>
        <w:drawing>
          <wp:inline distT="0" distB="0" distL="0" distR="0" wp14:anchorId="5F5DD709" wp14:editId="355B6C72">
            <wp:extent cx="5962650" cy="3009900"/>
            <wp:effectExtent l="0" t="0" r="0" b="0"/>
            <wp:docPr id="1659013703" name="Chart 1659013703">
              <a:extLst xmlns:a="http://schemas.openxmlformats.org/drawingml/2006/main">
                <a:ext uri="{FF2B5EF4-FFF2-40B4-BE49-F238E27FC236}">
                  <a16:creationId xmlns:a16="http://schemas.microsoft.com/office/drawing/2014/main" id="{00000000-0008-0000-0300-000023E74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D15827" w14:textId="77777777" w:rsidR="009968C2" w:rsidRDefault="009968C2">
      <w:pPr>
        <w:spacing w:before="0" w:after="200" w:line="276" w:lineRule="auto"/>
        <w:jc w:val="left"/>
        <w:rPr>
          <w:sz w:val="16"/>
          <w:szCs w:val="20"/>
        </w:rPr>
      </w:pPr>
    </w:p>
    <w:p w14:paraId="46B295B8" w14:textId="3A453364" w:rsidR="00FA30E4" w:rsidRPr="00F0610F" w:rsidRDefault="00FA30E4">
      <w:pPr>
        <w:spacing w:before="0" w:after="200" w:line="276" w:lineRule="auto"/>
        <w:jc w:val="left"/>
        <w:rPr>
          <w:sz w:val="16"/>
          <w:szCs w:val="20"/>
        </w:rPr>
      </w:pPr>
      <w:r>
        <w:rPr>
          <w:sz w:val="16"/>
          <w:szCs w:val="20"/>
        </w:rPr>
        <w:t>ACT Private – only includes data from the Australian Capital Territory private sector.</w:t>
      </w:r>
    </w:p>
    <w:p w14:paraId="3B3C4F9A" w14:textId="34D7D4AE" w:rsidR="009E712B" w:rsidRDefault="009E712B">
      <w:pPr>
        <w:spacing w:before="0" w:after="200" w:line="276" w:lineRule="auto"/>
        <w:jc w:val="left"/>
        <w:rPr>
          <w:i/>
          <w:iCs/>
        </w:rPr>
      </w:pPr>
    </w:p>
    <w:p w14:paraId="196A2F4A" w14:textId="61CE9402" w:rsidR="004D5E09" w:rsidRDefault="004D5E09" w:rsidP="009968C2">
      <w:pPr>
        <w:pStyle w:val="BodyJustified"/>
        <w:sectPr w:rsidR="004D5E09" w:rsidSect="00F87311">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1134" w:header="720" w:footer="720" w:gutter="0"/>
          <w:cols w:space="720"/>
          <w:noEndnote/>
          <w:titlePg/>
          <w:docGrid w:linePitch="299"/>
        </w:sectPr>
      </w:pPr>
      <w:bookmarkStart w:id="14" w:name="_Toc476564186"/>
      <w:bookmarkStart w:id="15" w:name="_Ref464469525"/>
    </w:p>
    <w:p w14:paraId="6BBCEA56" w14:textId="77777777" w:rsidR="00F87311" w:rsidRPr="00593601" w:rsidRDefault="00F87311" w:rsidP="00F87311">
      <w:pPr>
        <w:pStyle w:val="SWASectionnum2"/>
      </w:pPr>
      <w:bookmarkStart w:id="16" w:name="_Toc153368250"/>
      <w:r w:rsidRPr="00763976">
        <w:t xml:space="preserve">Standardised average premium rates </w:t>
      </w:r>
      <w:r>
        <w:t>by industry</w:t>
      </w:r>
      <w:bookmarkEnd w:id="16"/>
      <w:r>
        <w:rPr>
          <w:color w:val="681E5B"/>
        </w:rPr>
        <w:t xml:space="preserve"> </w:t>
      </w:r>
    </w:p>
    <w:p w14:paraId="382E9B3C" w14:textId="460EDE35" w:rsidR="008A28F9" w:rsidRPr="008A28F9" w:rsidRDefault="00B94996" w:rsidP="00F87311">
      <w:pPr>
        <w:pStyle w:val="SWASectionnumberingheading"/>
        <w:numPr>
          <w:ilvl w:val="0"/>
          <w:numId w:val="0"/>
        </w:numPr>
      </w:pPr>
      <w:bookmarkStart w:id="17" w:name="_Toc153368251"/>
      <w:bookmarkEnd w:id="15"/>
      <w:r w:rsidRPr="00376FAA">
        <w:rPr>
          <w:sz w:val="20"/>
          <w:szCs w:val="20"/>
        </w:rPr>
        <w:t>Australian average premium rates by industry</w:t>
      </w:r>
      <w:r w:rsidR="007A4B93" w:rsidRPr="00376FAA">
        <w:rPr>
          <w:sz w:val="20"/>
          <w:szCs w:val="20"/>
        </w:rPr>
        <w:t xml:space="preserve"> </w:t>
      </w:r>
      <w:r w:rsidR="00F87311">
        <w:rPr>
          <w:sz w:val="20"/>
          <w:szCs w:val="20"/>
        </w:rPr>
        <w:t>(previously indicator 14)</w:t>
      </w:r>
      <w:bookmarkEnd w:id="17"/>
    </w:p>
    <w:p w14:paraId="7F204789" w14:textId="3615B4F1" w:rsidR="00FD0054" w:rsidRDefault="008A28F9" w:rsidP="00246D62">
      <w:pPr>
        <w:spacing w:before="0" w:after="200" w:line="276" w:lineRule="auto"/>
        <w:jc w:val="center"/>
        <w:rPr>
          <w:lang w:val="en-US" w:eastAsia="en-US"/>
        </w:rPr>
        <w:sectPr w:rsidR="00FD0054" w:rsidSect="0047156B">
          <w:footerReference w:type="first" r:id="rId25"/>
          <w:pgSz w:w="16838" w:h="11906" w:orient="landscape"/>
          <w:pgMar w:top="1418" w:right="1134" w:bottom="1134" w:left="1134" w:header="720" w:footer="720" w:gutter="0"/>
          <w:cols w:space="720"/>
          <w:noEndnote/>
          <w:titlePg/>
          <w:docGrid w:linePitch="299"/>
        </w:sectPr>
      </w:pPr>
      <w:r>
        <w:rPr>
          <w:noProof/>
        </w:rPr>
        <w:drawing>
          <wp:inline distT="0" distB="0" distL="0" distR="0" wp14:anchorId="79CB5F22" wp14:editId="049BBA2E">
            <wp:extent cx="9069871" cy="4514022"/>
            <wp:effectExtent l="0" t="0" r="0" b="1270"/>
            <wp:docPr id="814760763" name="Chart 1">
              <a:extLst xmlns:a="http://schemas.openxmlformats.org/drawingml/2006/main">
                <a:ext uri="{FF2B5EF4-FFF2-40B4-BE49-F238E27FC236}">
                  <a16:creationId xmlns:a16="http://schemas.microsoft.com/office/drawing/2014/main" id="{00000000-0008-0000-0100-0000E20904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655C91" w14:textId="77777777" w:rsidR="007B4BFE" w:rsidRDefault="00EB6A23" w:rsidP="00E53AC3">
      <w:pPr>
        <w:pStyle w:val="SWASectionnum3"/>
        <w:spacing w:before="0"/>
      </w:pPr>
      <w:bookmarkStart w:id="18" w:name="_Toc474744860"/>
      <w:bookmarkStart w:id="19" w:name="_Toc80289673"/>
      <w:bookmarkStart w:id="20" w:name="_Toc476564185"/>
      <w:r w:rsidRPr="00763976">
        <w:t xml:space="preserve">Standardised average premium rates </w:t>
      </w:r>
      <w:r>
        <w:t>by industry</w:t>
      </w:r>
      <w:r w:rsidR="0047156B">
        <w:t xml:space="preserve"> and </w:t>
      </w:r>
      <w:r w:rsidR="007B4BFE">
        <w:t>jurisdiction</w:t>
      </w:r>
      <w:bookmarkEnd w:id="18"/>
      <w:bookmarkEnd w:id="19"/>
    </w:p>
    <w:p w14:paraId="0F9CDBA7" w14:textId="15D22AE9" w:rsidR="007B4BFE" w:rsidRDefault="007B4BFE" w:rsidP="009968C2">
      <w:pPr>
        <w:pStyle w:val="BodyJustified"/>
      </w:pPr>
      <w:r>
        <w:t xml:space="preserve">Presented below is a comparison of </w:t>
      </w:r>
      <w:proofErr w:type="spellStart"/>
      <w:r>
        <w:t>standardised</w:t>
      </w:r>
      <w:proofErr w:type="spellEnd"/>
      <w:r>
        <w:t xml:space="preserve"> average premium rates across the Australian jurisdictions for</w:t>
      </w:r>
      <w:r w:rsidR="00F168BC">
        <w:t xml:space="preserve"> each of</w:t>
      </w:r>
      <w:r>
        <w:t xml:space="preserve"> the </w:t>
      </w:r>
      <w:r w:rsidR="00DA15A7">
        <w:t>1</w:t>
      </w:r>
      <w:r w:rsidR="0052354F">
        <w:t>9</w:t>
      </w:r>
      <w:r w:rsidR="00DA15A7">
        <w:t xml:space="preserve"> </w:t>
      </w:r>
      <w:r w:rsidR="00477706">
        <w:t>industry groups</w:t>
      </w:r>
      <w:r>
        <w:t>.</w:t>
      </w:r>
      <w:r w:rsidR="00F168BC">
        <w:t xml:space="preserve"> </w:t>
      </w:r>
      <w:bookmarkStart w:id="21" w:name="_Hlk150244286"/>
      <w:r w:rsidR="00F168BC">
        <w:t xml:space="preserve">Not all jurisdictions are included under each industry, as some industries will not be relevant for </w:t>
      </w:r>
      <w:r w:rsidR="00F02F4D">
        <w:t xml:space="preserve">certain </w:t>
      </w:r>
      <w:r w:rsidR="00F168BC">
        <w:t xml:space="preserve">jurisdictions, particularly </w:t>
      </w:r>
      <w:r w:rsidR="003F5D70">
        <w:t>Comcare (</w:t>
      </w:r>
      <w:r w:rsidR="00B023C0">
        <w:t>Australian Government).</w:t>
      </w:r>
      <w:bookmarkEnd w:id="21"/>
    </w:p>
    <w:p w14:paraId="0FA35942" w14:textId="066A2B31" w:rsidR="007B4BFE" w:rsidRPr="00285B6A" w:rsidRDefault="007B4BFE" w:rsidP="007C5673">
      <w:pPr>
        <w:pStyle w:val="Heading1"/>
        <w:spacing w:before="240"/>
      </w:pPr>
      <w:bookmarkStart w:id="22" w:name="_Toc80289674"/>
      <w:r w:rsidRPr="00285B6A">
        <w:t xml:space="preserve">Agriculture, </w:t>
      </w:r>
      <w:proofErr w:type="gramStart"/>
      <w:r w:rsidRPr="00285B6A">
        <w:t>forestry</w:t>
      </w:r>
      <w:proofErr w:type="gramEnd"/>
      <w:r w:rsidRPr="00285B6A">
        <w:t xml:space="preserve"> and fishing</w:t>
      </w:r>
      <w:bookmarkEnd w:id="22"/>
      <w:r w:rsidRPr="00285B6A">
        <w:t xml:space="preserve"> </w:t>
      </w:r>
    </w:p>
    <w:p w14:paraId="0018ECEC" w14:textId="14DB5FBF" w:rsidR="007B4BFE" w:rsidRPr="00CB0296" w:rsidRDefault="007B4BFE" w:rsidP="007C5673">
      <w:pPr>
        <w:pStyle w:val="SWASectionnumberingheading"/>
        <w:numPr>
          <w:ilvl w:val="0"/>
          <w:numId w:val="0"/>
        </w:numPr>
        <w:spacing w:before="240"/>
        <w:rPr>
          <w:sz w:val="20"/>
          <w:szCs w:val="20"/>
        </w:rPr>
      </w:pPr>
      <w:bookmarkStart w:id="23" w:name="_Toc153368252"/>
      <w:r w:rsidRPr="00CB0296">
        <w:rPr>
          <w:sz w:val="20"/>
          <w:szCs w:val="20"/>
        </w:rPr>
        <w:t xml:space="preserve">Standardised premium rates for Agriculture, </w:t>
      </w:r>
      <w:proofErr w:type="gramStart"/>
      <w:r w:rsidRPr="00CB0296">
        <w:rPr>
          <w:sz w:val="20"/>
          <w:szCs w:val="20"/>
        </w:rPr>
        <w:t>forestry</w:t>
      </w:r>
      <w:proofErr w:type="gramEnd"/>
      <w:r w:rsidRPr="00CB0296">
        <w:rPr>
          <w:sz w:val="20"/>
          <w:szCs w:val="20"/>
        </w:rPr>
        <w:t xml:space="preserve"> and fishing by</w:t>
      </w:r>
      <w:r w:rsidR="00376FAA" w:rsidRPr="00CB0296">
        <w:rPr>
          <w:sz w:val="20"/>
          <w:szCs w:val="20"/>
        </w:rPr>
        <w:t xml:space="preserve"> j</w:t>
      </w:r>
      <w:r w:rsidRPr="00CB0296">
        <w:rPr>
          <w:sz w:val="20"/>
          <w:szCs w:val="20"/>
        </w:rPr>
        <w:t>urisdiction</w:t>
      </w:r>
      <w:r w:rsidR="00F87311">
        <w:rPr>
          <w:sz w:val="20"/>
          <w:szCs w:val="20"/>
        </w:rPr>
        <w:t xml:space="preserve"> (previously i</w:t>
      </w:r>
      <w:r w:rsidR="00F87311" w:rsidRPr="00CB0296">
        <w:rPr>
          <w:sz w:val="20"/>
          <w:szCs w:val="20"/>
        </w:rPr>
        <w:t>ndicator 14a</w:t>
      </w:r>
      <w:r w:rsidR="00F87311">
        <w:rPr>
          <w:sz w:val="20"/>
          <w:szCs w:val="20"/>
        </w:rPr>
        <w:t>)</w:t>
      </w:r>
      <w:bookmarkEnd w:id="23"/>
    </w:p>
    <w:p w14:paraId="5745C93D" w14:textId="09C6F88E" w:rsidR="00103DD7" w:rsidRDefault="001B3B59" w:rsidP="005F541E">
      <w:pPr>
        <w:rPr>
          <w:noProof/>
          <w:lang w:val="en-US" w:eastAsia="en-US"/>
        </w:rPr>
      </w:pPr>
      <w:r>
        <w:rPr>
          <w:noProof/>
        </w:rPr>
        <mc:AlternateContent>
          <mc:Choice Requires="wps">
            <w:drawing>
              <wp:anchor distT="0" distB="0" distL="114300" distR="114300" simplePos="0" relativeHeight="251697152" behindDoc="0" locked="0" layoutInCell="1" allowOverlap="1" wp14:anchorId="78501908" wp14:editId="34056ECE">
                <wp:simplePos x="0" y="0"/>
                <wp:positionH relativeFrom="column">
                  <wp:posOffset>1325880</wp:posOffset>
                </wp:positionH>
                <wp:positionV relativeFrom="paragraph">
                  <wp:posOffset>2732272</wp:posOffset>
                </wp:positionV>
                <wp:extent cx="4619625" cy="123825"/>
                <wp:effectExtent l="0" t="0" r="28575" b="28575"/>
                <wp:wrapNone/>
                <wp:docPr id="1101172894" name="Rectangle 2"/>
                <wp:cNvGraphicFramePr/>
                <a:graphic xmlns:a="http://schemas.openxmlformats.org/drawingml/2006/main">
                  <a:graphicData uri="http://schemas.microsoft.com/office/word/2010/wordprocessingShape">
                    <wps:wsp>
                      <wps:cNvSpPr/>
                      <wps:spPr>
                        <a:xfrm>
                          <a:off x="0" y="0"/>
                          <a:ext cx="46196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76F4C" id="Rectangle 2" o:spid="_x0000_s1026" style="position:absolute;margin-left:104.4pt;margin-top:215.15pt;width:363.7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" fillcolor="white [3212]" strokecolor="white [3212]" strokeweight="2pt"/>
            </w:pict>
          </mc:Fallback>
        </mc:AlternateContent>
      </w:r>
      <w:r w:rsidR="005F541E">
        <w:rPr>
          <w:noProof/>
        </w:rPr>
        <w:drawing>
          <wp:inline distT="0" distB="0" distL="0" distR="0" wp14:anchorId="4D1610B3" wp14:editId="4D707C4A">
            <wp:extent cx="6248400" cy="2892056"/>
            <wp:effectExtent l="0" t="0" r="0" b="3810"/>
            <wp:docPr id="568579225" name="Chart 1">
              <a:extLst xmlns:a="http://schemas.openxmlformats.org/drawingml/2006/main">
                <a:ext uri="{FF2B5EF4-FFF2-40B4-BE49-F238E27FC236}">
                  <a16:creationId xmlns:a16="http://schemas.microsoft.com/office/drawing/2014/main" id="{BCD84D53-37A3-4A0A-88EE-85A72947B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F6BB5F" w14:textId="5C5DE6F8" w:rsidR="00740915" w:rsidRPr="009968C2" w:rsidRDefault="00FA30E4" w:rsidP="009968C2">
      <w:pPr>
        <w:pStyle w:val="BodyJustified"/>
        <w:rPr>
          <w:sz w:val="16"/>
          <w:szCs w:val="16"/>
        </w:rPr>
      </w:pPr>
      <w:bookmarkStart w:id="24" w:name="_Toc80289675"/>
      <w:r w:rsidRPr="009968C2">
        <w:rPr>
          <w:sz w:val="16"/>
          <w:szCs w:val="16"/>
        </w:rPr>
        <w:t>Comcare – t</w:t>
      </w:r>
      <w:r w:rsidR="005870E5" w:rsidRPr="009968C2">
        <w:rPr>
          <w:sz w:val="16"/>
          <w:szCs w:val="16"/>
        </w:rPr>
        <w:t xml:space="preserve">he 2017-18 premium rate for Comcare </w:t>
      </w:r>
      <w:r w:rsidR="00EE6016" w:rsidRPr="009968C2">
        <w:rPr>
          <w:sz w:val="16"/>
          <w:szCs w:val="16"/>
        </w:rPr>
        <w:t xml:space="preserve">is </w:t>
      </w:r>
      <w:r w:rsidR="005870E5" w:rsidRPr="009968C2">
        <w:rPr>
          <w:sz w:val="16"/>
          <w:szCs w:val="16"/>
        </w:rPr>
        <w:t>unavailable.</w:t>
      </w:r>
    </w:p>
    <w:p w14:paraId="43B8B715" w14:textId="19729AED" w:rsidR="005870E5" w:rsidRDefault="00FA30E4" w:rsidP="009968C2">
      <w:pPr>
        <w:spacing w:before="0" w:after="200" w:line="276" w:lineRule="auto"/>
        <w:jc w:val="left"/>
      </w:pPr>
      <w:r>
        <w:rPr>
          <w:sz w:val="16"/>
          <w:szCs w:val="20"/>
        </w:rPr>
        <w:t>ACT Private – only includes data from the Australian Capital Territory private sector.</w:t>
      </w:r>
    </w:p>
    <w:p w14:paraId="2B460925" w14:textId="48536E3B" w:rsidR="007B4BFE" w:rsidRPr="00E54F09" w:rsidRDefault="007B4BFE" w:rsidP="006900D4">
      <w:pPr>
        <w:pStyle w:val="Heading1"/>
        <w:spacing w:before="120"/>
      </w:pPr>
      <w:r w:rsidRPr="00E54F09">
        <w:t>Mining</w:t>
      </w:r>
      <w:bookmarkEnd w:id="24"/>
      <w:r w:rsidRPr="00E54F09">
        <w:t xml:space="preserve"> </w:t>
      </w:r>
    </w:p>
    <w:p w14:paraId="50F0FAFA" w14:textId="22878B2F" w:rsidR="00C210C2" w:rsidRPr="00CB0296" w:rsidRDefault="007B4BFE" w:rsidP="00CB0296">
      <w:pPr>
        <w:pStyle w:val="SWASectionnumberingheading"/>
        <w:numPr>
          <w:ilvl w:val="0"/>
          <w:numId w:val="0"/>
        </w:numPr>
        <w:spacing w:before="240"/>
        <w:rPr>
          <w:sz w:val="20"/>
          <w:szCs w:val="20"/>
        </w:rPr>
      </w:pPr>
      <w:bookmarkStart w:id="25" w:name="_Toc153368253"/>
      <w:r w:rsidRPr="00CB0296">
        <w:rPr>
          <w:sz w:val="20"/>
          <w:szCs w:val="20"/>
        </w:rPr>
        <w:t>Standardised premium rates for Mining by jurisdiction</w:t>
      </w:r>
      <w:r w:rsidR="00AA1ED7" w:rsidRPr="00CB0296">
        <w:rPr>
          <w:sz w:val="20"/>
          <w:szCs w:val="20"/>
        </w:rPr>
        <w:t xml:space="preserve"> </w:t>
      </w:r>
      <w:r w:rsidR="00F87311">
        <w:rPr>
          <w:sz w:val="20"/>
          <w:szCs w:val="20"/>
        </w:rPr>
        <w:t>(previously i</w:t>
      </w:r>
      <w:r w:rsidR="00F87311" w:rsidRPr="00CB0296">
        <w:rPr>
          <w:sz w:val="20"/>
          <w:szCs w:val="20"/>
        </w:rPr>
        <w:t>ndicator 14b</w:t>
      </w:r>
      <w:r w:rsidR="00F87311">
        <w:rPr>
          <w:sz w:val="20"/>
          <w:szCs w:val="20"/>
        </w:rPr>
        <w:t>)</w:t>
      </w:r>
      <w:bookmarkEnd w:id="25"/>
    </w:p>
    <w:bookmarkStart w:id="26" w:name="_Toc80289676"/>
    <w:p w14:paraId="56B6AB29" w14:textId="77777777" w:rsidR="00FA30E4" w:rsidRDefault="00F87311" w:rsidP="00FA30E4">
      <w:pPr>
        <w:spacing w:before="0" w:after="200" w:line="276" w:lineRule="auto"/>
        <w:jc w:val="left"/>
      </w:pPr>
      <w:r>
        <w:rPr>
          <w:noProof/>
        </w:rPr>
        <mc:AlternateContent>
          <mc:Choice Requires="wpg">
            <w:drawing>
              <wp:anchor distT="0" distB="0" distL="114300" distR="114300" simplePos="0" relativeHeight="251699200" behindDoc="0" locked="0" layoutInCell="1" allowOverlap="1" wp14:anchorId="6B78499F" wp14:editId="63ED0203">
                <wp:simplePos x="0" y="0"/>
                <wp:positionH relativeFrom="column">
                  <wp:posOffset>72242</wp:posOffset>
                </wp:positionH>
                <wp:positionV relativeFrom="paragraph">
                  <wp:posOffset>33404</wp:posOffset>
                </wp:positionV>
                <wp:extent cx="6029325" cy="2498651"/>
                <wp:effectExtent l="0" t="0" r="0" b="16510"/>
                <wp:wrapNone/>
                <wp:docPr id="75" name="Group 74">
                  <a:extLst xmlns:a="http://schemas.openxmlformats.org/drawingml/2006/main">
                    <a:ext uri="{FF2B5EF4-FFF2-40B4-BE49-F238E27FC236}">
                      <a16:creationId xmlns:a16="http://schemas.microsoft.com/office/drawing/2014/main" id="{25F725CC-C6C1-48E0-AFD5-EE9CC6372F14}"/>
                    </a:ext>
                  </a:extLst>
                </wp:docPr>
                <wp:cNvGraphicFramePr/>
                <a:graphic xmlns:a="http://schemas.openxmlformats.org/drawingml/2006/main">
                  <a:graphicData uri="http://schemas.microsoft.com/office/word/2010/wordprocessingGroup">
                    <wpg:wgp>
                      <wpg:cNvGrpSpPr/>
                      <wpg:grpSpPr>
                        <a:xfrm>
                          <a:off x="0" y="0"/>
                          <a:ext cx="6029325" cy="2498651"/>
                          <a:chOff x="0" y="0"/>
                          <a:chExt cx="6329128" cy="2973869"/>
                        </a:xfrm>
                      </wpg:grpSpPr>
                      <wpg:graphicFrame>
                        <wpg:cNvPr id="1843618041" name="Chart 1843618041">
                          <a:extLst>
                            <a:ext uri="{FF2B5EF4-FFF2-40B4-BE49-F238E27FC236}">
                              <a16:creationId xmlns:a16="http://schemas.microsoft.com/office/drawing/2014/main" id="{432483DB-F16A-4CC5-BA90-C08CC4B347B9}"/>
                            </a:ext>
                          </a:extLst>
                        </wpg:cNvPr>
                        <wpg:cNvFrPr>
                          <a:graphicFrameLocks/>
                        </wpg:cNvFrPr>
                        <wpg:xfrm>
                          <a:off x="0" y="0"/>
                          <a:ext cx="6329128" cy="2962659"/>
                        </wpg:xfrm>
                        <a:graphic>
                          <a:graphicData uri="http://schemas.openxmlformats.org/drawingml/2006/chart">
                            <c:chart xmlns:c="http://schemas.openxmlformats.org/drawingml/2006/chart" xmlns:r="http://schemas.openxmlformats.org/officeDocument/2006/relationships" r:id="rId28"/>
                          </a:graphicData>
                        </a:graphic>
                      </wpg:graphicFrame>
                      <wps:wsp>
                        <wps:cNvPr id="1176848187" name="Rectangle 1176848187">
                          <a:extLst>
                            <a:ext uri="{FF2B5EF4-FFF2-40B4-BE49-F238E27FC236}">
                              <a16:creationId xmlns:a16="http://schemas.microsoft.com/office/drawing/2014/main" id="{091B0C6C-06C7-47B7-A796-96C37AB36B3F}"/>
                            </a:ext>
                          </a:extLst>
                        </wps:cNvPr>
                        <wps:cNvSpPr>
                          <a:spLocks noChangeArrowheads="1"/>
                        </wps:cNvSpPr>
                        <wps:spPr bwMode="auto">
                          <a:xfrm flipV="1">
                            <a:off x="1291792" y="2789038"/>
                            <a:ext cx="4415013" cy="184831"/>
                          </a:xfrm>
                          <a:prstGeom prst="rect">
                            <a:avLst/>
                          </a:prstGeom>
                          <a:solidFill>
                            <a:srgbClr val="FFFFFF"/>
                          </a:solidFill>
                          <a:ln w="9525">
                            <a:solidFill>
                              <a:schemeClr val="bg1"/>
                            </a:solidFill>
                            <a:miter lim="800000"/>
                            <a:headEnd/>
                            <a:tailEnd/>
                          </a:ln>
                        </wps:spPr>
                        <wps:bodyPr wrap="square"/>
                      </wps:wsp>
                    </wpg:wgp>
                  </a:graphicData>
                </a:graphic>
                <wp14:sizeRelH relativeFrom="margin">
                  <wp14:pctWidth>0</wp14:pctWidth>
                </wp14:sizeRelH>
                <wp14:sizeRelV relativeFrom="margin">
                  <wp14:pctHeight>0</wp14:pctHeight>
                </wp14:sizeRelV>
              </wp:anchor>
            </w:drawing>
          </mc:Choice>
          <mc:Fallback>
            <w:pict>
              <v:group w14:anchorId="37EB4D67" id="Group 74" o:spid="_x0000_s1026" style="position:absolute;margin-left:5.7pt;margin-top:2.65pt;width:474.75pt;height:196.75pt;z-index:251699200;mso-width-relative:margin;mso-height-relative:margin" coordsize="63291,29738"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843618041" o:spid="_x0000_s1027" type="#_x0000_t75" style="position:absolute;width:63287;height:29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">
                  <v:imagedata r:id="rId33" o:title=""/>
                  <o:lock v:ext="edit" aspectratio="f"/>
                </v:shape>
                <v:rect id="Rectangle 1176848187" o:spid="_x0000_s1028" style="position:absolute;left:12917;top:27890;width:44151;height:184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" strokecolor="white [3212]"/>
              </v:group>
            </w:pict>
          </mc:Fallback>
        </mc:AlternateContent>
      </w:r>
    </w:p>
    <w:p w14:paraId="3259F5EB" w14:textId="77777777" w:rsidR="00FA30E4" w:rsidRDefault="00FA30E4" w:rsidP="00FA30E4">
      <w:pPr>
        <w:spacing w:before="0" w:after="200" w:line="276" w:lineRule="auto"/>
        <w:jc w:val="left"/>
      </w:pPr>
    </w:p>
    <w:p w14:paraId="1023DCA2" w14:textId="77777777" w:rsidR="00FA30E4" w:rsidRDefault="00FA30E4" w:rsidP="00FA30E4">
      <w:pPr>
        <w:spacing w:before="0" w:after="200" w:line="276" w:lineRule="auto"/>
        <w:jc w:val="left"/>
      </w:pPr>
    </w:p>
    <w:p w14:paraId="6B5E6F5C" w14:textId="77777777" w:rsidR="00FA30E4" w:rsidRDefault="00FA30E4" w:rsidP="00FA30E4">
      <w:pPr>
        <w:spacing w:before="0" w:after="200" w:line="276" w:lineRule="auto"/>
        <w:jc w:val="left"/>
      </w:pPr>
    </w:p>
    <w:p w14:paraId="6140ADDC" w14:textId="77777777" w:rsidR="00FA30E4" w:rsidRDefault="00FA30E4" w:rsidP="00FA30E4">
      <w:pPr>
        <w:spacing w:before="0" w:after="200" w:line="276" w:lineRule="auto"/>
        <w:jc w:val="left"/>
      </w:pPr>
    </w:p>
    <w:p w14:paraId="51A04167" w14:textId="77777777" w:rsidR="00FA30E4" w:rsidRDefault="00FA30E4" w:rsidP="00FA30E4">
      <w:pPr>
        <w:spacing w:before="0" w:after="200" w:line="276" w:lineRule="auto"/>
        <w:jc w:val="left"/>
      </w:pPr>
    </w:p>
    <w:p w14:paraId="6B2AE0B6" w14:textId="77777777" w:rsidR="00FA30E4" w:rsidRDefault="00FA30E4" w:rsidP="00FA30E4">
      <w:pPr>
        <w:spacing w:before="0" w:after="200" w:line="276" w:lineRule="auto"/>
        <w:jc w:val="left"/>
      </w:pPr>
    </w:p>
    <w:p w14:paraId="27722632" w14:textId="77777777" w:rsidR="00FA30E4" w:rsidRDefault="00FA30E4" w:rsidP="00FA30E4">
      <w:pPr>
        <w:spacing w:before="0" w:after="200" w:line="276" w:lineRule="auto"/>
        <w:jc w:val="left"/>
      </w:pPr>
    </w:p>
    <w:p w14:paraId="1F72F4F5" w14:textId="77777777" w:rsidR="00FA30E4" w:rsidRDefault="00FA30E4" w:rsidP="00FA30E4">
      <w:pPr>
        <w:spacing w:before="0" w:after="200" w:line="276" w:lineRule="auto"/>
        <w:jc w:val="left"/>
      </w:pPr>
    </w:p>
    <w:p w14:paraId="45A7006A" w14:textId="1288E0A5"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487B477D" w14:textId="2CEB5EDD" w:rsidR="007B4BFE" w:rsidRPr="00285B6A" w:rsidRDefault="007B4BFE" w:rsidP="00B101B1">
      <w:pPr>
        <w:pStyle w:val="Heading1"/>
        <w:spacing w:before="240" w:after="120"/>
      </w:pPr>
      <w:r w:rsidRPr="0023389D">
        <w:t>Manufacturing</w:t>
      </w:r>
      <w:bookmarkEnd w:id="26"/>
      <w:r w:rsidRPr="00285B6A">
        <w:t xml:space="preserve"> </w:t>
      </w:r>
    </w:p>
    <w:p w14:paraId="4A0E06A2" w14:textId="24991096" w:rsidR="007B4BFE" w:rsidRPr="00CB0296" w:rsidRDefault="007B4BFE" w:rsidP="00CB0296">
      <w:pPr>
        <w:pStyle w:val="SWASectionnumberingheading"/>
        <w:numPr>
          <w:ilvl w:val="0"/>
          <w:numId w:val="0"/>
        </w:numPr>
        <w:spacing w:before="240"/>
        <w:rPr>
          <w:sz w:val="20"/>
          <w:szCs w:val="20"/>
        </w:rPr>
      </w:pPr>
      <w:bookmarkStart w:id="27" w:name="_Toc153368254"/>
      <w:r w:rsidRPr="00CB0296">
        <w:rPr>
          <w:sz w:val="20"/>
          <w:szCs w:val="20"/>
        </w:rPr>
        <w:t>Standardised premium rates for Manufacturing by jurisdiction</w:t>
      </w:r>
      <w:r w:rsidR="00F87311" w:rsidRPr="00F87311">
        <w:rPr>
          <w:sz w:val="20"/>
          <w:szCs w:val="20"/>
        </w:rPr>
        <w:t xml:space="preserve"> </w:t>
      </w:r>
      <w:r w:rsidR="00F87311">
        <w:rPr>
          <w:sz w:val="20"/>
          <w:szCs w:val="20"/>
        </w:rPr>
        <w:t>(previously i</w:t>
      </w:r>
      <w:r w:rsidR="00F87311" w:rsidRPr="00CB0296">
        <w:rPr>
          <w:sz w:val="20"/>
          <w:szCs w:val="20"/>
        </w:rPr>
        <w:t>ndicator 14</w:t>
      </w:r>
      <w:r w:rsidR="00F87311">
        <w:rPr>
          <w:sz w:val="20"/>
          <w:szCs w:val="20"/>
        </w:rPr>
        <w:t>c)</w:t>
      </w:r>
      <w:bookmarkEnd w:id="27"/>
    </w:p>
    <w:bookmarkStart w:id="28" w:name="_Toc80289677"/>
    <w:p w14:paraId="66445500" w14:textId="660ADFB8" w:rsidR="00653374" w:rsidRDefault="00653374">
      <w:pPr>
        <w:spacing w:before="0" w:after="200" w:line="276" w:lineRule="auto"/>
        <w:jc w:val="left"/>
        <w:rPr>
          <w:noProof/>
        </w:rPr>
      </w:pPr>
      <w:r>
        <w:rPr>
          <w:noProof/>
          <w:szCs w:val="20"/>
        </w:rPr>
        <mc:AlternateContent>
          <mc:Choice Requires="wpg">
            <w:drawing>
              <wp:anchor distT="0" distB="0" distL="114300" distR="114300" simplePos="0" relativeHeight="251665408" behindDoc="0" locked="0" layoutInCell="1" allowOverlap="1" wp14:anchorId="0C3861CC" wp14:editId="03ADB295">
                <wp:simplePos x="0" y="0"/>
                <wp:positionH relativeFrom="margin">
                  <wp:posOffset>-635</wp:posOffset>
                </wp:positionH>
                <wp:positionV relativeFrom="paragraph">
                  <wp:posOffset>86360</wp:posOffset>
                </wp:positionV>
                <wp:extent cx="6076950" cy="2990962"/>
                <wp:effectExtent l="0" t="0" r="0" b="0"/>
                <wp:wrapNone/>
                <wp:docPr id="278370177" name="Group 4"/>
                <wp:cNvGraphicFramePr/>
                <a:graphic xmlns:a="http://schemas.openxmlformats.org/drawingml/2006/main">
                  <a:graphicData uri="http://schemas.microsoft.com/office/word/2010/wordprocessingGroup">
                    <wpg:wgp>
                      <wpg:cNvGrpSpPr/>
                      <wpg:grpSpPr>
                        <a:xfrm>
                          <a:off x="0" y="0"/>
                          <a:ext cx="6076950" cy="2990962"/>
                          <a:chOff x="-159751" y="3084224"/>
                          <a:chExt cx="7381167" cy="2935942"/>
                        </a:xfrm>
                      </wpg:grpSpPr>
                      <wpg:graphicFrame>
                        <wpg:cNvPr id="1596786118" name="Chart 1596786118"/>
                        <wpg:cNvFrPr>
                          <a:graphicFrameLocks/>
                        </wpg:cNvFrPr>
                        <wpg:xfrm>
                          <a:off x="-159751" y="3084224"/>
                          <a:ext cx="7381167" cy="2935942"/>
                        </wpg:xfrm>
                        <a:graphic>
                          <a:graphicData uri="http://schemas.openxmlformats.org/drawingml/2006/chart">
                            <c:chart xmlns:c="http://schemas.openxmlformats.org/drawingml/2006/chart" xmlns:r="http://schemas.openxmlformats.org/officeDocument/2006/relationships" r:id="rId34"/>
                          </a:graphicData>
                        </a:graphic>
                      </wpg:graphicFrame>
                      <wps:wsp>
                        <wps:cNvPr id="1242513913" name="Rectangle 1242513913"/>
                        <wps:cNvSpPr>
                          <a:spLocks noChangeArrowheads="1"/>
                        </wps:cNvSpPr>
                        <wps:spPr bwMode="auto">
                          <a:xfrm flipV="1">
                            <a:off x="1418237" y="5816321"/>
                            <a:ext cx="4680963" cy="166335"/>
                          </a:xfrm>
                          <a:prstGeom prst="rect">
                            <a:avLst/>
                          </a:prstGeom>
                          <a:solidFill>
                            <a:srgbClr val="FFFFFF"/>
                          </a:solidFill>
                          <a:ln w="9525">
                            <a:noFill/>
                            <a:miter lim="800000"/>
                            <a:headEnd/>
                            <a:tailEnd/>
                          </a:ln>
                        </wps:spPr>
                        <wps:bodyPr wrap="square"/>
                      </wps:wsp>
                    </wpg:wgp>
                  </a:graphicData>
                </a:graphic>
                <wp14:sizeRelH relativeFrom="margin">
                  <wp14:pctWidth>0</wp14:pctWidth>
                </wp14:sizeRelH>
                <wp14:sizeRelV relativeFrom="margin">
                  <wp14:pctHeight>0</wp14:pctHeight>
                </wp14:sizeRelV>
              </wp:anchor>
            </w:drawing>
          </mc:Choice>
          <mc:Fallback>
            <w:pict>
              <v:group w14:anchorId="1F7593E6" id="Group 4" o:spid="_x0000_s1026" style="position:absolute;margin-left:-.05pt;margin-top:6.8pt;width:478.5pt;height:235.5pt;z-index:251665408;mso-position-horizontal-relative:margin;mso-width-relative:margin;mso-height-relative:margin" coordorigin="-1597,30842" coordsize="73811,29359"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&#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">
                <v:shape id="Chart 1596786118" o:spid="_x0000_s1027" type="#_x0000_t75" style="position:absolute;left:-1597;top:30842;width:73820;height:29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">
                  <v:imagedata r:id="rId35" o:title=""/>
                  <o:lock v:ext="edit" aspectratio="f"/>
                </v:shape>
                <v:rect id="Rectangle 1242513913" o:spid="_x0000_s1028" style="position:absolute;left:14182;top:58163;width:46810;height:166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" stroked="f"/>
                <w10:wrap anchorx="margin"/>
              </v:group>
            </w:pict>
          </mc:Fallback>
        </mc:AlternateContent>
      </w:r>
    </w:p>
    <w:p w14:paraId="04B14B07" w14:textId="6AF49064" w:rsidR="00653374" w:rsidRDefault="00653374">
      <w:pPr>
        <w:spacing w:before="0" w:after="200" w:line="276" w:lineRule="auto"/>
        <w:jc w:val="left"/>
        <w:rPr>
          <w:noProof/>
        </w:rPr>
      </w:pPr>
    </w:p>
    <w:p w14:paraId="7F30F63D" w14:textId="3EE8FECD" w:rsidR="00653374" w:rsidRDefault="00653374">
      <w:pPr>
        <w:spacing w:before="0" w:after="200" w:line="276" w:lineRule="auto"/>
        <w:jc w:val="left"/>
        <w:rPr>
          <w:noProof/>
        </w:rPr>
      </w:pPr>
    </w:p>
    <w:p w14:paraId="1C037095" w14:textId="45E379C6" w:rsidR="00653374" w:rsidRDefault="00653374">
      <w:pPr>
        <w:spacing w:before="0" w:after="200" w:line="276" w:lineRule="auto"/>
        <w:jc w:val="left"/>
        <w:rPr>
          <w:noProof/>
        </w:rPr>
      </w:pPr>
    </w:p>
    <w:p w14:paraId="423667E3" w14:textId="77777777" w:rsidR="00653374" w:rsidRDefault="00653374">
      <w:pPr>
        <w:spacing w:before="0" w:after="200" w:line="276" w:lineRule="auto"/>
        <w:jc w:val="left"/>
        <w:rPr>
          <w:noProof/>
        </w:rPr>
      </w:pPr>
    </w:p>
    <w:p w14:paraId="6E56B835" w14:textId="77777777" w:rsidR="00653374" w:rsidRDefault="00653374">
      <w:pPr>
        <w:spacing w:before="0" w:after="200" w:line="276" w:lineRule="auto"/>
        <w:jc w:val="left"/>
        <w:rPr>
          <w:noProof/>
        </w:rPr>
      </w:pPr>
    </w:p>
    <w:p w14:paraId="7943EF27" w14:textId="77777777" w:rsidR="00653374" w:rsidRDefault="00653374">
      <w:pPr>
        <w:spacing w:before="0" w:after="200" w:line="276" w:lineRule="auto"/>
        <w:jc w:val="left"/>
        <w:rPr>
          <w:noProof/>
        </w:rPr>
      </w:pPr>
    </w:p>
    <w:p w14:paraId="6AE457CE" w14:textId="77777777" w:rsidR="00653374" w:rsidRDefault="00653374">
      <w:pPr>
        <w:spacing w:before="0" w:after="200" w:line="276" w:lineRule="auto"/>
        <w:jc w:val="left"/>
        <w:rPr>
          <w:noProof/>
        </w:rPr>
      </w:pPr>
    </w:p>
    <w:p w14:paraId="67E93FF6" w14:textId="77777777" w:rsidR="00653374" w:rsidRDefault="00653374">
      <w:pPr>
        <w:spacing w:before="0" w:after="200" w:line="276" w:lineRule="auto"/>
        <w:jc w:val="left"/>
        <w:rPr>
          <w:noProof/>
        </w:rPr>
      </w:pPr>
    </w:p>
    <w:p w14:paraId="2A8BB70E" w14:textId="77777777" w:rsidR="00653374" w:rsidRDefault="00653374">
      <w:pPr>
        <w:spacing w:before="0" w:after="200" w:line="276" w:lineRule="auto"/>
        <w:jc w:val="left"/>
        <w:rPr>
          <w:noProof/>
        </w:rPr>
      </w:pPr>
    </w:p>
    <w:p w14:paraId="399AE559" w14:textId="4A3820CF" w:rsidR="00653374" w:rsidRDefault="00653374">
      <w:pPr>
        <w:spacing w:before="0" w:after="200" w:line="276" w:lineRule="auto"/>
        <w:jc w:val="left"/>
        <w:rPr>
          <w:noProof/>
        </w:rPr>
      </w:pPr>
    </w:p>
    <w:p w14:paraId="437D53A9" w14:textId="1C5CA563" w:rsidR="00653374" w:rsidRPr="009968C2" w:rsidRDefault="00FA30E4">
      <w:pPr>
        <w:spacing w:before="0" w:after="200" w:line="276" w:lineRule="auto"/>
        <w:jc w:val="left"/>
        <w:rPr>
          <w:sz w:val="16"/>
          <w:szCs w:val="20"/>
        </w:rPr>
      </w:pPr>
      <w:r>
        <w:rPr>
          <w:sz w:val="16"/>
          <w:szCs w:val="20"/>
        </w:rPr>
        <w:t>ACT Private – only includes data from the Australian Capital Territory private sector.</w:t>
      </w:r>
    </w:p>
    <w:p w14:paraId="732B159A" w14:textId="7411080B" w:rsidR="007B4BFE" w:rsidRPr="00285B6A" w:rsidRDefault="007B4BFE" w:rsidP="007C5673">
      <w:pPr>
        <w:pStyle w:val="Heading1"/>
        <w:keepLines/>
        <w:spacing w:before="240"/>
      </w:pPr>
      <w:r w:rsidRPr="00285B6A">
        <w:rPr>
          <w:noProof/>
        </w:rPr>
        <w:t>Electricity, gas</w:t>
      </w:r>
      <w:r w:rsidR="00592E49">
        <w:rPr>
          <w:noProof/>
        </w:rPr>
        <w:t>,</w:t>
      </w:r>
      <w:r w:rsidRPr="00285B6A">
        <w:rPr>
          <w:noProof/>
        </w:rPr>
        <w:t xml:space="preserve"> water</w:t>
      </w:r>
      <w:r w:rsidR="00592E49">
        <w:rPr>
          <w:noProof/>
        </w:rPr>
        <w:t xml:space="preserve"> and waste services</w:t>
      </w:r>
      <w:bookmarkEnd w:id="28"/>
      <w:r w:rsidRPr="00285B6A">
        <w:t xml:space="preserve"> </w:t>
      </w:r>
    </w:p>
    <w:p w14:paraId="28C2E12D" w14:textId="023E546A" w:rsidR="007B4BFE" w:rsidRPr="00CB0296" w:rsidRDefault="007B4BFE" w:rsidP="007C5673">
      <w:pPr>
        <w:pStyle w:val="SWASectionnumberingheading"/>
        <w:numPr>
          <w:ilvl w:val="0"/>
          <w:numId w:val="0"/>
        </w:numPr>
        <w:spacing w:before="240"/>
        <w:rPr>
          <w:sz w:val="20"/>
          <w:szCs w:val="20"/>
        </w:rPr>
      </w:pPr>
      <w:bookmarkStart w:id="29" w:name="_Toc153368255"/>
      <w:r w:rsidRPr="00CB0296">
        <w:rPr>
          <w:sz w:val="20"/>
          <w:szCs w:val="20"/>
        </w:rPr>
        <w:t xml:space="preserve">Standardised premium rates for </w:t>
      </w:r>
      <w:proofErr w:type="gramStart"/>
      <w:r w:rsidR="00884561" w:rsidRPr="00CB0296">
        <w:rPr>
          <w:sz w:val="20"/>
          <w:szCs w:val="20"/>
        </w:rPr>
        <w:t>Electricity</w:t>
      </w:r>
      <w:proofErr w:type="gramEnd"/>
      <w:r w:rsidR="00884561" w:rsidRPr="00CB0296">
        <w:rPr>
          <w:sz w:val="20"/>
          <w:szCs w:val="20"/>
        </w:rPr>
        <w:t>, gas</w:t>
      </w:r>
      <w:r w:rsidR="00047378" w:rsidRPr="00CB0296">
        <w:rPr>
          <w:sz w:val="20"/>
          <w:szCs w:val="20"/>
        </w:rPr>
        <w:t>,</w:t>
      </w:r>
      <w:r w:rsidRPr="00CB0296">
        <w:rPr>
          <w:sz w:val="20"/>
          <w:szCs w:val="20"/>
        </w:rPr>
        <w:t xml:space="preserve"> water</w:t>
      </w:r>
      <w:r w:rsidR="00047378" w:rsidRPr="00CB0296">
        <w:rPr>
          <w:sz w:val="20"/>
          <w:szCs w:val="20"/>
        </w:rPr>
        <w:t xml:space="preserve"> and waste services by</w:t>
      </w:r>
      <w:r w:rsidRPr="00CB0296">
        <w:rPr>
          <w:sz w:val="20"/>
          <w:szCs w:val="20"/>
        </w:rPr>
        <w:t xml:space="preserve"> jurisdiction</w:t>
      </w:r>
      <w:r w:rsidR="00653374">
        <w:rPr>
          <w:sz w:val="20"/>
          <w:szCs w:val="20"/>
        </w:rPr>
        <w:t xml:space="preserve"> (previously i</w:t>
      </w:r>
      <w:r w:rsidR="00653374" w:rsidRPr="00CB0296">
        <w:rPr>
          <w:sz w:val="20"/>
          <w:szCs w:val="20"/>
        </w:rPr>
        <w:t>ndicator 14d</w:t>
      </w:r>
      <w:r w:rsidR="00653374">
        <w:rPr>
          <w:sz w:val="20"/>
          <w:szCs w:val="20"/>
        </w:rPr>
        <w:t>)</w:t>
      </w:r>
      <w:bookmarkEnd w:id="29"/>
    </w:p>
    <w:bookmarkStart w:id="30" w:name="_Toc80289678"/>
    <w:p w14:paraId="1E699ACC" w14:textId="0D1E1022" w:rsidR="00BE656D" w:rsidRDefault="005F541E" w:rsidP="005F541E">
      <w:pPr>
        <w:spacing w:before="0" w:after="200" w:line="276" w:lineRule="auto"/>
        <w:rPr>
          <w:rFonts w:ascii="Arial Bold" w:eastAsiaTheme="majorEastAsia" w:hAnsi="Arial Bold" w:cs="Arial"/>
          <w:b/>
          <w:kern w:val="32"/>
          <w:sz w:val="28"/>
          <w:szCs w:val="22"/>
        </w:rPr>
      </w:pPr>
      <w:r>
        <w:rPr>
          <w:noProof/>
        </w:rPr>
        <mc:AlternateContent>
          <mc:Choice Requires="wpg">
            <w:drawing>
              <wp:anchor distT="0" distB="0" distL="114300" distR="114300" simplePos="0" relativeHeight="251667456" behindDoc="0" locked="0" layoutInCell="1" allowOverlap="1" wp14:anchorId="581EF30A" wp14:editId="4F0F2171">
                <wp:simplePos x="0" y="0"/>
                <wp:positionH relativeFrom="margin">
                  <wp:align>left</wp:align>
                </wp:positionH>
                <wp:positionV relativeFrom="paragraph">
                  <wp:posOffset>7620</wp:posOffset>
                </wp:positionV>
                <wp:extent cx="6101256" cy="2943225"/>
                <wp:effectExtent l="0" t="0" r="0" b="0"/>
                <wp:wrapNone/>
                <wp:docPr id="78" name="Group 77">
                  <a:extLst xmlns:a="http://schemas.openxmlformats.org/drawingml/2006/main">
                    <a:ext uri="{FF2B5EF4-FFF2-40B4-BE49-F238E27FC236}">
                      <a16:creationId xmlns:a16="http://schemas.microsoft.com/office/drawing/2014/main" id="{9B95D261-8C6B-4BC3-AF1A-752110D835B4}"/>
                    </a:ext>
                  </a:extLst>
                </wp:docPr>
                <wp:cNvGraphicFramePr/>
                <a:graphic xmlns:a="http://schemas.openxmlformats.org/drawingml/2006/main">
                  <a:graphicData uri="http://schemas.microsoft.com/office/word/2010/wordprocessingGroup">
                    <wpg:wgp>
                      <wpg:cNvGrpSpPr/>
                      <wpg:grpSpPr>
                        <a:xfrm>
                          <a:off x="0" y="0"/>
                          <a:ext cx="6101256" cy="2943225"/>
                          <a:chOff x="0" y="0"/>
                          <a:chExt cx="6353736" cy="2969559"/>
                        </a:xfrm>
                      </wpg:grpSpPr>
                      <wpg:graphicFrame>
                        <wpg:cNvPr id="1581344658" name="Chart 1581344658">
                          <a:extLst>
                            <a:ext uri="{FF2B5EF4-FFF2-40B4-BE49-F238E27FC236}">
                              <a16:creationId xmlns:a16="http://schemas.microsoft.com/office/drawing/2014/main" id="{B9961ADC-9F66-477A-A205-48FDD1DFB7C7}"/>
                            </a:ext>
                          </a:extLst>
                        </wpg:cNvPr>
                        <wpg:cNvFrPr>
                          <a:graphicFrameLocks/>
                        </wpg:cNvFrPr>
                        <wpg:xfrm>
                          <a:off x="0" y="0"/>
                          <a:ext cx="6353736" cy="2969559"/>
                        </wpg:xfrm>
                        <a:graphic>
                          <a:graphicData uri="http://schemas.openxmlformats.org/drawingml/2006/chart">
                            <c:chart xmlns:c="http://schemas.openxmlformats.org/drawingml/2006/chart" xmlns:r="http://schemas.openxmlformats.org/officeDocument/2006/relationships" r:id="rId36"/>
                          </a:graphicData>
                        </a:graphic>
                      </wpg:graphicFrame>
                      <wps:wsp>
                        <wps:cNvPr id="1249500889" name="Rectangle 1249500889">
                          <a:extLst>
                            <a:ext uri="{FF2B5EF4-FFF2-40B4-BE49-F238E27FC236}">
                              <a16:creationId xmlns:a16="http://schemas.microsoft.com/office/drawing/2014/main" id="{9CC3F772-FDDA-44CC-A084-CD9E8CC750E6}"/>
                            </a:ext>
                          </a:extLst>
                        </wps:cNvPr>
                        <wps:cNvSpPr>
                          <a:spLocks noChangeArrowheads="1"/>
                        </wps:cNvSpPr>
                        <wps:spPr bwMode="auto">
                          <a:xfrm flipV="1">
                            <a:off x="1355154" y="2808334"/>
                            <a:ext cx="4415342" cy="145453"/>
                          </a:xfrm>
                          <a:prstGeom prst="rect">
                            <a:avLst/>
                          </a:prstGeom>
                          <a:solidFill>
                            <a:srgbClr val="FFFFFF"/>
                          </a:solidFill>
                          <a:ln w="9525">
                            <a:noFill/>
                            <a:miter lim="800000"/>
                            <a:headEnd/>
                            <a:tailEnd/>
                          </a:ln>
                        </wps:spPr>
                        <wps:bodyPr wrap="square"/>
                      </wps:wsp>
                    </wpg:wgp>
                  </a:graphicData>
                </a:graphic>
                <wp14:sizeRelH relativeFrom="margin">
                  <wp14:pctWidth>0</wp14:pctWidth>
                </wp14:sizeRelH>
                <wp14:sizeRelV relativeFrom="margin">
                  <wp14:pctHeight>0</wp14:pctHeight>
                </wp14:sizeRelV>
              </wp:anchor>
            </w:drawing>
          </mc:Choice>
          <mc:Fallback>
            <w:pict>
              <v:group w14:anchorId="4659491F" id="Group 77" o:spid="_x0000_s1026" style="position:absolute;margin-left:0;margin-top:.6pt;width:480.4pt;height:231.75pt;z-index:251667456;mso-position-horizontal:left;mso-position-horizontal-relative:margin;mso-width-relative:margin;mso-height-relative:margin" coordsize="63537,29695"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">
                <v:shape id="Chart 1581344658" o:spid="_x0000_s1027" type="#_x0000_t75" style="position:absolute;width:63546;height:29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">
                  <v:imagedata r:id="rId37" o:title=""/>
                  <o:lock v:ext="edit" aspectratio="f"/>
                </v:shape>
                <v:rect id="Rectangle 1249500889" o:spid="_x0000_s1028" style="position:absolute;left:13551;top:28083;width:44153;height:145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" stroked="f"/>
                <w10:wrap anchorx="margin"/>
              </v:group>
            </w:pict>
          </mc:Fallback>
        </mc:AlternateContent>
      </w:r>
    </w:p>
    <w:p w14:paraId="1A8DF26C" w14:textId="77777777" w:rsidR="00FA30E4" w:rsidRDefault="00FA30E4">
      <w:pPr>
        <w:spacing w:before="0" w:after="200" w:line="276" w:lineRule="auto"/>
        <w:jc w:val="left"/>
        <w:rPr>
          <w:rFonts w:ascii="Arial Bold" w:eastAsiaTheme="majorEastAsia" w:hAnsi="Arial Bold" w:cs="Arial"/>
          <w:b/>
          <w:kern w:val="32"/>
          <w:sz w:val="28"/>
          <w:szCs w:val="22"/>
        </w:rPr>
      </w:pPr>
    </w:p>
    <w:p w14:paraId="0B860F3B" w14:textId="77777777" w:rsidR="00FA30E4" w:rsidRDefault="00FA30E4">
      <w:pPr>
        <w:spacing w:before="0" w:after="200" w:line="276" w:lineRule="auto"/>
        <w:jc w:val="left"/>
        <w:rPr>
          <w:rFonts w:ascii="Arial Bold" w:eastAsiaTheme="majorEastAsia" w:hAnsi="Arial Bold" w:cs="Arial"/>
          <w:b/>
          <w:kern w:val="32"/>
          <w:sz w:val="28"/>
          <w:szCs w:val="22"/>
        </w:rPr>
      </w:pPr>
    </w:p>
    <w:p w14:paraId="753942CC" w14:textId="77777777" w:rsidR="00FA30E4" w:rsidRDefault="00FA30E4">
      <w:pPr>
        <w:spacing w:before="0" w:after="200" w:line="276" w:lineRule="auto"/>
        <w:jc w:val="left"/>
        <w:rPr>
          <w:rFonts w:ascii="Arial Bold" w:eastAsiaTheme="majorEastAsia" w:hAnsi="Arial Bold" w:cs="Arial"/>
          <w:b/>
          <w:kern w:val="32"/>
          <w:sz w:val="28"/>
          <w:szCs w:val="22"/>
        </w:rPr>
      </w:pPr>
    </w:p>
    <w:p w14:paraId="255FD06D" w14:textId="77777777" w:rsidR="00FA30E4" w:rsidRDefault="00FA30E4">
      <w:pPr>
        <w:spacing w:before="0" w:after="200" w:line="276" w:lineRule="auto"/>
        <w:jc w:val="left"/>
        <w:rPr>
          <w:rFonts w:ascii="Arial Bold" w:eastAsiaTheme="majorEastAsia" w:hAnsi="Arial Bold" w:cs="Arial"/>
          <w:b/>
          <w:kern w:val="32"/>
          <w:sz w:val="28"/>
          <w:szCs w:val="22"/>
        </w:rPr>
      </w:pPr>
    </w:p>
    <w:p w14:paraId="42E6D459" w14:textId="77777777" w:rsidR="00FA30E4" w:rsidRDefault="00FA30E4">
      <w:pPr>
        <w:spacing w:before="0" w:after="200" w:line="276" w:lineRule="auto"/>
        <w:jc w:val="left"/>
        <w:rPr>
          <w:rFonts w:ascii="Arial Bold" w:eastAsiaTheme="majorEastAsia" w:hAnsi="Arial Bold" w:cs="Arial"/>
          <w:b/>
          <w:kern w:val="32"/>
          <w:sz w:val="28"/>
          <w:szCs w:val="22"/>
        </w:rPr>
      </w:pPr>
    </w:p>
    <w:p w14:paraId="1011085D" w14:textId="77777777" w:rsidR="00FA30E4" w:rsidRDefault="00FA30E4">
      <w:pPr>
        <w:spacing w:before="0" w:after="200" w:line="276" w:lineRule="auto"/>
        <w:jc w:val="left"/>
        <w:rPr>
          <w:rFonts w:ascii="Arial Bold" w:eastAsiaTheme="majorEastAsia" w:hAnsi="Arial Bold" w:cs="Arial"/>
          <w:b/>
          <w:kern w:val="32"/>
          <w:sz w:val="28"/>
          <w:szCs w:val="22"/>
        </w:rPr>
      </w:pPr>
    </w:p>
    <w:p w14:paraId="48453410" w14:textId="77777777" w:rsidR="00FA30E4" w:rsidRDefault="00FA30E4">
      <w:pPr>
        <w:spacing w:before="0" w:after="200" w:line="276" w:lineRule="auto"/>
        <w:jc w:val="left"/>
        <w:rPr>
          <w:rFonts w:ascii="Arial Bold" w:eastAsiaTheme="majorEastAsia" w:hAnsi="Arial Bold" w:cs="Arial"/>
          <w:b/>
          <w:kern w:val="32"/>
          <w:sz w:val="28"/>
          <w:szCs w:val="22"/>
        </w:rPr>
      </w:pPr>
    </w:p>
    <w:p w14:paraId="635CEC11" w14:textId="77777777" w:rsidR="00FA30E4" w:rsidRDefault="00FA30E4" w:rsidP="00FA30E4">
      <w:pPr>
        <w:spacing w:before="0" w:after="200" w:line="276" w:lineRule="auto"/>
        <w:jc w:val="left"/>
        <w:rPr>
          <w:sz w:val="16"/>
          <w:szCs w:val="20"/>
        </w:rPr>
      </w:pPr>
    </w:p>
    <w:p w14:paraId="4EE9F238" w14:textId="60777F56"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4244A8AF" w14:textId="7D2324BC" w:rsidR="00BE656D" w:rsidRDefault="00BE656D">
      <w:pPr>
        <w:spacing w:before="0" w:after="200" w:line="276" w:lineRule="auto"/>
        <w:jc w:val="left"/>
        <w:rPr>
          <w:rFonts w:ascii="Arial Bold" w:eastAsiaTheme="majorEastAsia" w:hAnsi="Arial Bold" w:cs="Arial"/>
          <w:b/>
          <w:kern w:val="32"/>
          <w:sz w:val="28"/>
          <w:szCs w:val="22"/>
        </w:rPr>
      </w:pPr>
      <w:r>
        <w:rPr>
          <w:rFonts w:ascii="Arial Bold" w:eastAsiaTheme="majorEastAsia" w:hAnsi="Arial Bold" w:cs="Arial"/>
          <w:b/>
          <w:kern w:val="32"/>
          <w:sz w:val="28"/>
          <w:szCs w:val="22"/>
        </w:rPr>
        <w:br w:type="page"/>
      </w:r>
    </w:p>
    <w:p w14:paraId="79191532" w14:textId="2E413DB3" w:rsidR="007B4BFE" w:rsidRPr="00285B6A" w:rsidRDefault="007B4BFE" w:rsidP="007C5673">
      <w:pPr>
        <w:pStyle w:val="Heading1"/>
        <w:spacing w:before="240"/>
      </w:pPr>
      <w:r w:rsidRPr="00285B6A">
        <w:t>Construction</w:t>
      </w:r>
      <w:bookmarkEnd w:id="30"/>
      <w:r w:rsidRPr="00285B6A">
        <w:t xml:space="preserve"> </w:t>
      </w:r>
    </w:p>
    <w:bookmarkStart w:id="31" w:name="_Toc153368256"/>
    <w:p w14:paraId="44662AA9" w14:textId="3BFCF702" w:rsidR="007B4BFE" w:rsidRPr="00CB0296" w:rsidRDefault="00653374" w:rsidP="007C5673">
      <w:pPr>
        <w:pStyle w:val="SWASectionnumberingheading"/>
        <w:numPr>
          <w:ilvl w:val="0"/>
          <w:numId w:val="0"/>
        </w:numPr>
        <w:spacing w:before="240"/>
        <w:rPr>
          <w:sz w:val="20"/>
          <w:szCs w:val="20"/>
        </w:rPr>
      </w:pPr>
      <w:r>
        <w:rPr>
          <w:noProof/>
        </w:rPr>
        <mc:AlternateContent>
          <mc:Choice Requires="wpg">
            <w:drawing>
              <wp:anchor distT="0" distB="0" distL="114300" distR="114300" simplePos="0" relativeHeight="251669504" behindDoc="0" locked="0" layoutInCell="1" allowOverlap="1" wp14:anchorId="5C5FDCCE" wp14:editId="6B333197">
                <wp:simplePos x="0" y="0"/>
                <wp:positionH relativeFrom="margin">
                  <wp:posOffset>-53515</wp:posOffset>
                </wp:positionH>
                <wp:positionV relativeFrom="paragraph">
                  <wp:posOffset>305282</wp:posOffset>
                </wp:positionV>
                <wp:extent cx="6038850" cy="3115688"/>
                <wp:effectExtent l="0" t="0" r="0" b="8890"/>
                <wp:wrapNone/>
                <wp:docPr id="18" name="Group 17">
                  <a:extLst xmlns:a="http://schemas.openxmlformats.org/drawingml/2006/main">
                    <a:ext uri="{FF2B5EF4-FFF2-40B4-BE49-F238E27FC236}">
                      <a16:creationId xmlns:a16="http://schemas.microsoft.com/office/drawing/2014/main" id="{A260A215-2297-4B7B-8D74-994D681DBE8A}"/>
                    </a:ext>
                  </a:extLst>
                </wp:docPr>
                <wp:cNvGraphicFramePr/>
                <a:graphic xmlns:a="http://schemas.openxmlformats.org/drawingml/2006/main">
                  <a:graphicData uri="http://schemas.microsoft.com/office/word/2010/wordprocessingGroup">
                    <wpg:wgp>
                      <wpg:cNvGrpSpPr/>
                      <wpg:grpSpPr>
                        <a:xfrm>
                          <a:off x="0" y="0"/>
                          <a:ext cx="6038850" cy="3115688"/>
                          <a:chOff x="0" y="281057"/>
                          <a:chExt cx="7622402" cy="3086377"/>
                        </a:xfrm>
                      </wpg:grpSpPr>
                      <wpg:graphicFrame>
                        <wpg:cNvPr id="1571785427" name="Chart 1571785427">
                          <a:extLst>
                            <a:ext uri="{FF2B5EF4-FFF2-40B4-BE49-F238E27FC236}">
                              <a16:creationId xmlns:a16="http://schemas.microsoft.com/office/drawing/2014/main" id="{C635FC86-9DAE-4CCC-84EC-B097B0A22A71}"/>
                            </a:ext>
                          </a:extLst>
                        </wpg:cNvPr>
                        <wpg:cNvFrPr>
                          <a:graphicFrameLocks/>
                        </wpg:cNvFrPr>
                        <wpg:xfrm>
                          <a:off x="0" y="281057"/>
                          <a:ext cx="7622402" cy="3086377"/>
                        </wpg:xfrm>
                        <a:graphic>
                          <a:graphicData uri="http://schemas.openxmlformats.org/drawingml/2006/chart">
                            <c:chart xmlns:c="http://schemas.openxmlformats.org/drawingml/2006/chart" xmlns:r="http://schemas.openxmlformats.org/officeDocument/2006/relationships" r:id="rId38"/>
                          </a:graphicData>
                        </a:graphic>
                      </wpg:graphicFrame>
                      <wps:wsp>
                        <wps:cNvPr id="1518304358" name="Rectangle 1518304358">
                          <a:extLst>
                            <a:ext uri="{FF2B5EF4-FFF2-40B4-BE49-F238E27FC236}">
                              <a16:creationId xmlns:a16="http://schemas.microsoft.com/office/drawing/2014/main" id="{C2AF9168-1E40-4751-9760-67CCCFF300BA}"/>
                            </a:ext>
                          </a:extLst>
                        </wps:cNvPr>
                        <wps:cNvSpPr>
                          <a:spLocks noChangeArrowheads="1"/>
                        </wps:cNvSpPr>
                        <wps:spPr bwMode="auto">
                          <a:xfrm flipV="1">
                            <a:off x="1635657" y="3096405"/>
                            <a:ext cx="5296963" cy="189335"/>
                          </a:xfrm>
                          <a:prstGeom prst="rect">
                            <a:avLst/>
                          </a:prstGeom>
                          <a:solidFill>
                            <a:srgbClr val="FFFFFF"/>
                          </a:solidFill>
                          <a:ln w="9525">
                            <a:noFill/>
                            <a:miter lim="800000"/>
                            <a:headEnd/>
                            <a:tailEnd/>
                          </a:ln>
                        </wps:spPr>
                        <wps:bodyPr wrap="square"/>
                      </wps:wsp>
                    </wpg:wgp>
                  </a:graphicData>
                </a:graphic>
                <wp14:sizeRelH relativeFrom="margin">
                  <wp14:pctWidth>0</wp14:pctWidth>
                </wp14:sizeRelH>
                <wp14:sizeRelV relativeFrom="margin">
                  <wp14:pctHeight>0</wp14:pctHeight>
                </wp14:sizeRelV>
              </wp:anchor>
            </w:drawing>
          </mc:Choice>
          <mc:Fallback>
            <w:pict>
              <v:group w14:anchorId="196F6068" id="Group 17" o:spid="_x0000_s1026" style="position:absolute;margin-left:-4.2pt;margin-top:24.05pt;width:475.5pt;height:245.35pt;z-index:251669504;mso-position-horizontal-relative:margin;mso-width-relative:margin;mso-height-relative:margin" coordorigin=",2810" coordsize="76224,30863"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">
                <v:shape id="Chart 1571785427" o:spid="_x0000_s1027" type="#_x0000_t75" style="position:absolute;top:2810;width:76252;height:30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">
                  <v:imagedata r:id="rId39" o:title=""/>
                  <o:lock v:ext="edit" aspectratio="f"/>
                </v:shape>
                <v:rect id="Rectangle 1518304358" o:spid="_x0000_s1028" style="position:absolute;left:16356;top:30964;width:52970;height:189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" stroked="f"/>
                <w10:wrap anchorx="margin"/>
              </v:group>
            </w:pict>
          </mc:Fallback>
        </mc:AlternateContent>
      </w:r>
      <w:r w:rsidR="007B4BFE" w:rsidRPr="00CB0296">
        <w:rPr>
          <w:sz w:val="20"/>
          <w:szCs w:val="20"/>
        </w:rPr>
        <w:t xml:space="preserve">Standardised premium rates for Construction by </w:t>
      </w:r>
      <w:r w:rsidR="001D69AD" w:rsidRPr="00CB0296">
        <w:rPr>
          <w:sz w:val="20"/>
          <w:szCs w:val="20"/>
        </w:rPr>
        <w:t>jurisdiction</w:t>
      </w:r>
      <w:r>
        <w:rPr>
          <w:sz w:val="20"/>
          <w:szCs w:val="20"/>
        </w:rPr>
        <w:t xml:space="preserve"> (</w:t>
      </w:r>
      <w:r w:rsidR="00C16BBF">
        <w:rPr>
          <w:sz w:val="20"/>
          <w:szCs w:val="20"/>
        </w:rPr>
        <w:t>p</w:t>
      </w:r>
      <w:r>
        <w:rPr>
          <w:sz w:val="20"/>
          <w:szCs w:val="20"/>
        </w:rPr>
        <w:t>reviously i</w:t>
      </w:r>
      <w:r w:rsidRPr="00CB0296">
        <w:rPr>
          <w:sz w:val="20"/>
          <w:szCs w:val="20"/>
        </w:rPr>
        <w:t>ndicator 14e</w:t>
      </w:r>
      <w:r>
        <w:rPr>
          <w:sz w:val="20"/>
          <w:szCs w:val="20"/>
        </w:rPr>
        <w:t>)</w:t>
      </w:r>
      <w:bookmarkEnd w:id="31"/>
    </w:p>
    <w:p w14:paraId="0EF0F621" w14:textId="2B10097A" w:rsidR="00653374" w:rsidRDefault="00653374" w:rsidP="005F541E">
      <w:pPr>
        <w:spacing w:before="0" w:after="200" w:line="276" w:lineRule="auto"/>
      </w:pPr>
      <w:bookmarkStart w:id="32" w:name="_Toc80289679"/>
    </w:p>
    <w:p w14:paraId="38F767DC" w14:textId="06F3F06B" w:rsidR="00653374" w:rsidRDefault="00653374" w:rsidP="005F541E">
      <w:pPr>
        <w:spacing w:before="0" w:after="200" w:line="276" w:lineRule="auto"/>
      </w:pPr>
    </w:p>
    <w:p w14:paraId="039E2551" w14:textId="77777777" w:rsidR="00653374" w:rsidRDefault="00653374" w:rsidP="005F541E">
      <w:pPr>
        <w:spacing w:before="0" w:after="200" w:line="276" w:lineRule="auto"/>
      </w:pPr>
    </w:p>
    <w:p w14:paraId="54BD6E60" w14:textId="77777777" w:rsidR="00653374" w:rsidRDefault="00653374" w:rsidP="005F541E">
      <w:pPr>
        <w:spacing w:before="0" w:after="200" w:line="276" w:lineRule="auto"/>
      </w:pPr>
    </w:p>
    <w:p w14:paraId="76562C16" w14:textId="6F39EB24" w:rsidR="00653374" w:rsidRDefault="00653374" w:rsidP="005F541E">
      <w:pPr>
        <w:spacing w:before="0" w:after="200" w:line="276" w:lineRule="auto"/>
      </w:pPr>
    </w:p>
    <w:p w14:paraId="35924441" w14:textId="77777777" w:rsidR="00653374" w:rsidRDefault="00653374" w:rsidP="005F541E">
      <w:pPr>
        <w:spacing w:before="0" w:after="200" w:line="276" w:lineRule="auto"/>
      </w:pPr>
    </w:p>
    <w:p w14:paraId="12D16973" w14:textId="77777777" w:rsidR="00653374" w:rsidRDefault="00653374" w:rsidP="005F541E">
      <w:pPr>
        <w:spacing w:before="0" w:after="200" w:line="276" w:lineRule="auto"/>
      </w:pPr>
    </w:p>
    <w:p w14:paraId="1D278162" w14:textId="77777777" w:rsidR="00653374" w:rsidRDefault="00653374" w:rsidP="005F541E">
      <w:pPr>
        <w:spacing w:before="0" w:after="200" w:line="276" w:lineRule="auto"/>
      </w:pPr>
    </w:p>
    <w:p w14:paraId="55F842C4" w14:textId="77777777" w:rsidR="00653374" w:rsidRDefault="00653374" w:rsidP="005F541E">
      <w:pPr>
        <w:spacing w:before="0" w:after="200" w:line="276" w:lineRule="auto"/>
      </w:pPr>
    </w:p>
    <w:p w14:paraId="482CF461" w14:textId="77777777" w:rsidR="00653374" w:rsidRDefault="00653374" w:rsidP="005F541E">
      <w:pPr>
        <w:spacing w:before="0" w:after="200" w:line="276" w:lineRule="auto"/>
      </w:pPr>
    </w:p>
    <w:p w14:paraId="53738937" w14:textId="77777777" w:rsidR="005639B1" w:rsidRDefault="005639B1" w:rsidP="005639B1">
      <w:pPr>
        <w:pStyle w:val="Body"/>
      </w:pPr>
    </w:p>
    <w:p w14:paraId="6A5E2F39" w14:textId="39144AEC" w:rsidR="00FA30E4" w:rsidRPr="009968C2" w:rsidRDefault="00FA30E4" w:rsidP="009968C2">
      <w:pPr>
        <w:spacing w:before="0" w:after="200" w:line="276" w:lineRule="auto"/>
        <w:jc w:val="left"/>
        <w:rPr>
          <w:sz w:val="16"/>
        </w:rPr>
      </w:pPr>
      <w:r>
        <w:rPr>
          <w:sz w:val="16"/>
          <w:szCs w:val="20"/>
        </w:rPr>
        <w:t>ACT Private – only includes data from the Australian Capital Territory private sector.</w:t>
      </w:r>
    </w:p>
    <w:p w14:paraId="18B5EFAA" w14:textId="54942C47" w:rsidR="007B4BFE" w:rsidRPr="00285B6A" w:rsidRDefault="007B4BFE" w:rsidP="007C5673">
      <w:pPr>
        <w:pStyle w:val="Heading1"/>
        <w:keepLines/>
        <w:spacing w:before="240"/>
      </w:pPr>
      <w:r w:rsidRPr="00285B6A">
        <w:t>Wholesale trade</w:t>
      </w:r>
      <w:bookmarkEnd w:id="32"/>
      <w:r w:rsidRPr="00285B6A">
        <w:t xml:space="preserve"> </w:t>
      </w:r>
    </w:p>
    <w:bookmarkStart w:id="33" w:name="_Toc153368257"/>
    <w:p w14:paraId="4D89730B" w14:textId="06F68FD1" w:rsidR="007B4BFE" w:rsidRDefault="00903B6A" w:rsidP="007C5673">
      <w:pPr>
        <w:pStyle w:val="SWASectionnumberingheading"/>
        <w:numPr>
          <w:ilvl w:val="0"/>
          <w:numId w:val="0"/>
        </w:numPr>
        <w:spacing w:before="240"/>
        <w:rPr>
          <w:sz w:val="20"/>
          <w:szCs w:val="20"/>
        </w:rPr>
      </w:pPr>
      <w:r>
        <w:rPr>
          <w:noProof/>
        </w:rPr>
        <mc:AlternateContent>
          <mc:Choice Requires="wpg">
            <w:drawing>
              <wp:anchor distT="0" distB="0" distL="114300" distR="114300" simplePos="0" relativeHeight="251671552" behindDoc="0" locked="0" layoutInCell="1" allowOverlap="1" wp14:anchorId="486CA998" wp14:editId="631F4C33">
                <wp:simplePos x="0" y="0"/>
                <wp:positionH relativeFrom="margin">
                  <wp:posOffset>-337294</wp:posOffset>
                </wp:positionH>
                <wp:positionV relativeFrom="paragraph">
                  <wp:posOffset>259824</wp:posOffset>
                </wp:positionV>
                <wp:extent cx="6630035" cy="3074276"/>
                <wp:effectExtent l="0" t="0" r="0" b="0"/>
                <wp:wrapNone/>
                <wp:docPr id="80" name="Group 79">
                  <a:extLst xmlns:a="http://schemas.openxmlformats.org/drawingml/2006/main">
                    <a:ext uri="{FF2B5EF4-FFF2-40B4-BE49-F238E27FC236}">
                      <a16:creationId xmlns:a16="http://schemas.microsoft.com/office/drawing/2014/main" id="{FB4BB55B-4C22-431F-A6CB-902558F7E331}"/>
                    </a:ext>
                  </a:extLst>
                </wp:docPr>
                <wp:cNvGraphicFramePr/>
                <a:graphic xmlns:a="http://schemas.openxmlformats.org/drawingml/2006/main">
                  <a:graphicData uri="http://schemas.microsoft.com/office/word/2010/wordprocessingGroup">
                    <wpg:wgp>
                      <wpg:cNvGrpSpPr/>
                      <wpg:grpSpPr>
                        <a:xfrm>
                          <a:off x="0" y="0"/>
                          <a:ext cx="6630035" cy="3074276"/>
                          <a:chOff x="0" y="0"/>
                          <a:chExt cx="6826404" cy="2959689"/>
                        </a:xfrm>
                      </wpg:grpSpPr>
                      <wpg:graphicFrame>
                        <wpg:cNvPr id="1957286198" name="Chart 1957286198">
                          <a:extLst>
                            <a:ext uri="{FF2B5EF4-FFF2-40B4-BE49-F238E27FC236}">
                              <a16:creationId xmlns:a16="http://schemas.microsoft.com/office/drawing/2014/main" id="{C481CA46-8DC4-4BB6-AC9F-6502F2558036}"/>
                            </a:ext>
                          </a:extLst>
                        </wpg:cNvPr>
                        <wpg:cNvFrPr>
                          <a:graphicFrameLocks/>
                        </wpg:cNvFrPr>
                        <wpg:xfrm>
                          <a:off x="0" y="0"/>
                          <a:ext cx="6826404" cy="2959689"/>
                        </wpg:xfrm>
                        <a:graphic>
                          <a:graphicData uri="http://schemas.openxmlformats.org/drawingml/2006/chart">
                            <c:chart xmlns:c="http://schemas.openxmlformats.org/drawingml/2006/chart" xmlns:r="http://schemas.openxmlformats.org/officeDocument/2006/relationships" r:id="rId40"/>
                          </a:graphicData>
                        </a:graphic>
                      </wpg:graphicFrame>
                      <wps:wsp>
                        <wps:cNvPr id="716592240" name="Rectangle 716592240">
                          <a:extLst>
                            <a:ext uri="{FF2B5EF4-FFF2-40B4-BE49-F238E27FC236}">
                              <a16:creationId xmlns:a16="http://schemas.microsoft.com/office/drawing/2014/main" id="{A4E01BD7-0A1C-4964-9F8C-9DBFD39F0FB8}"/>
                            </a:ext>
                          </a:extLst>
                        </wps:cNvPr>
                        <wps:cNvSpPr>
                          <a:spLocks noChangeArrowheads="1"/>
                        </wps:cNvSpPr>
                        <wps:spPr bwMode="auto">
                          <a:xfrm flipV="1">
                            <a:off x="1405142" y="2776459"/>
                            <a:ext cx="4413437" cy="156882"/>
                          </a:xfrm>
                          <a:prstGeom prst="rect">
                            <a:avLst/>
                          </a:prstGeom>
                          <a:solidFill>
                            <a:srgbClr val="FFFFFF"/>
                          </a:solidFill>
                          <a:ln w="9525">
                            <a:noFill/>
                            <a:miter lim="800000"/>
                            <a:headEnd/>
                            <a:tailEnd/>
                          </a:ln>
                        </wps:spPr>
                        <wps:bodyPr wrap="square"/>
                      </wps:wsp>
                    </wpg:wgp>
                  </a:graphicData>
                </a:graphic>
                <wp14:sizeRelH relativeFrom="margin">
                  <wp14:pctWidth>0</wp14:pctWidth>
                </wp14:sizeRelH>
                <wp14:sizeRelV relativeFrom="margin">
                  <wp14:pctHeight>0</wp14:pctHeight>
                </wp14:sizeRelV>
              </wp:anchor>
            </w:drawing>
          </mc:Choice>
          <mc:Fallback>
            <w:pict>
              <v:group w14:anchorId="39A01914" id="Group 79" o:spid="_x0000_s1026" style="position:absolute;margin-left:-26.55pt;margin-top:20.45pt;width:522.05pt;height:242.05pt;z-index:251671552;mso-position-horizontal-relative:margin;mso-width-relative:margin;mso-height-relative:margin" coordsize="68264,2959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">
                <v:shape id="Chart 1957286198" o:spid="_x0000_s1027" type="#_x0000_t75" style="position:absolute;width:68288;height:29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">
                  <v:imagedata r:id="rId41" o:title=""/>
                  <o:lock v:ext="edit" aspectratio="f"/>
                </v:shape>
                <v:rect id="Rectangle 716592240" o:spid="_x0000_s1028" style="position:absolute;left:14051;top:27764;width:44134;height:15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" stroked="f"/>
                <w10:wrap anchorx="margin"/>
              </v:group>
            </w:pict>
          </mc:Fallback>
        </mc:AlternateContent>
      </w:r>
      <w:r w:rsidR="007B4BFE" w:rsidRPr="00376FAA">
        <w:rPr>
          <w:sz w:val="20"/>
          <w:szCs w:val="20"/>
        </w:rPr>
        <w:t>Standardised premium rates for Wholesale trade by jurisdiction</w:t>
      </w:r>
      <w:r w:rsidR="00653374">
        <w:rPr>
          <w:sz w:val="20"/>
          <w:szCs w:val="20"/>
        </w:rPr>
        <w:t xml:space="preserve"> (</w:t>
      </w:r>
      <w:r w:rsidR="00C16BBF">
        <w:rPr>
          <w:sz w:val="20"/>
          <w:szCs w:val="20"/>
        </w:rPr>
        <w:t>p</w:t>
      </w:r>
      <w:r w:rsidR="00653374">
        <w:rPr>
          <w:sz w:val="20"/>
          <w:szCs w:val="20"/>
        </w:rPr>
        <w:t>reviously i</w:t>
      </w:r>
      <w:r w:rsidR="00653374" w:rsidRPr="00376FAA">
        <w:rPr>
          <w:sz w:val="20"/>
          <w:szCs w:val="20"/>
        </w:rPr>
        <w:t>ndicator 14f</w:t>
      </w:r>
      <w:r w:rsidR="00653374">
        <w:rPr>
          <w:sz w:val="20"/>
          <w:szCs w:val="20"/>
        </w:rPr>
        <w:t>)</w:t>
      </w:r>
      <w:bookmarkEnd w:id="33"/>
    </w:p>
    <w:p w14:paraId="55504049" w14:textId="3DC7E5FE" w:rsidR="005058D6" w:rsidRDefault="005058D6">
      <w:pPr>
        <w:spacing w:before="0" w:after="200" w:line="276" w:lineRule="auto"/>
        <w:jc w:val="left"/>
        <w:rPr>
          <w:rFonts w:ascii="Arial Bold" w:eastAsiaTheme="majorEastAsia" w:hAnsi="Arial Bold" w:cs="Arial"/>
          <w:b/>
          <w:kern w:val="32"/>
          <w:sz w:val="28"/>
          <w:szCs w:val="22"/>
        </w:rPr>
      </w:pPr>
      <w:bookmarkStart w:id="34" w:name="_Toc80289680"/>
    </w:p>
    <w:p w14:paraId="799F893E" w14:textId="77777777" w:rsidR="00FA30E4" w:rsidRDefault="00FA30E4">
      <w:pPr>
        <w:spacing w:before="0" w:after="200" w:line="276" w:lineRule="auto"/>
        <w:jc w:val="left"/>
      </w:pPr>
    </w:p>
    <w:p w14:paraId="34C65A18" w14:textId="77777777" w:rsidR="00FA30E4" w:rsidRDefault="00FA30E4">
      <w:pPr>
        <w:spacing w:before="0" w:after="200" w:line="276" w:lineRule="auto"/>
        <w:jc w:val="left"/>
      </w:pPr>
    </w:p>
    <w:p w14:paraId="5E906443" w14:textId="77777777" w:rsidR="00FA30E4" w:rsidRDefault="00FA30E4">
      <w:pPr>
        <w:spacing w:before="0" w:after="200" w:line="276" w:lineRule="auto"/>
        <w:jc w:val="left"/>
      </w:pPr>
    </w:p>
    <w:p w14:paraId="79029F7E" w14:textId="77777777" w:rsidR="00FA30E4" w:rsidRDefault="00FA30E4">
      <w:pPr>
        <w:spacing w:before="0" w:after="200" w:line="276" w:lineRule="auto"/>
        <w:jc w:val="left"/>
      </w:pPr>
    </w:p>
    <w:p w14:paraId="50E0EC61" w14:textId="77777777" w:rsidR="00FA30E4" w:rsidRDefault="00FA30E4">
      <w:pPr>
        <w:spacing w:before="0" w:after="200" w:line="276" w:lineRule="auto"/>
        <w:jc w:val="left"/>
      </w:pPr>
    </w:p>
    <w:p w14:paraId="390D197A" w14:textId="77777777" w:rsidR="00FA30E4" w:rsidRDefault="00FA30E4">
      <w:pPr>
        <w:spacing w:before="0" w:after="200" w:line="276" w:lineRule="auto"/>
        <w:jc w:val="left"/>
      </w:pPr>
    </w:p>
    <w:p w14:paraId="523C2BE0" w14:textId="77777777" w:rsidR="00FA30E4" w:rsidRDefault="00FA30E4">
      <w:pPr>
        <w:spacing w:before="0" w:after="200" w:line="276" w:lineRule="auto"/>
        <w:jc w:val="left"/>
      </w:pPr>
    </w:p>
    <w:p w14:paraId="7BFAE2FA" w14:textId="77777777" w:rsidR="00FA30E4" w:rsidRDefault="00FA30E4">
      <w:pPr>
        <w:spacing w:before="0" w:after="200" w:line="276" w:lineRule="auto"/>
        <w:jc w:val="left"/>
      </w:pPr>
    </w:p>
    <w:p w14:paraId="3C5B80C5" w14:textId="77777777" w:rsidR="00FA30E4" w:rsidRDefault="00FA30E4">
      <w:pPr>
        <w:spacing w:before="0" w:after="200" w:line="276" w:lineRule="auto"/>
        <w:jc w:val="left"/>
      </w:pPr>
    </w:p>
    <w:p w14:paraId="7E71AACD" w14:textId="77777777" w:rsidR="009968C2" w:rsidRDefault="009968C2" w:rsidP="00FA30E4">
      <w:pPr>
        <w:spacing w:before="0" w:after="200" w:line="276" w:lineRule="auto"/>
        <w:jc w:val="left"/>
        <w:rPr>
          <w:sz w:val="16"/>
          <w:szCs w:val="20"/>
        </w:rPr>
      </w:pPr>
    </w:p>
    <w:p w14:paraId="0A0DF34F" w14:textId="2F197386"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18FE3D0E" w14:textId="16790903" w:rsidR="005058D6" w:rsidRDefault="005058D6">
      <w:pPr>
        <w:spacing w:before="0" w:after="200" w:line="276" w:lineRule="auto"/>
        <w:jc w:val="left"/>
        <w:rPr>
          <w:rFonts w:ascii="Arial Bold" w:eastAsiaTheme="majorEastAsia" w:hAnsi="Arial Bold" w:cs="Arial"/>
          <w:b/>
          <w:kern w:val="32"/>
          <w:sz w:val="28"/>
          <w:szCs w:val="22"/>
        </w:rPr>
      </w:pPr>
      <w:r>
        <w:br w:type="page"/>
      </w:r>
    </w:p>
    <w:p w14:paraId="408D155A" w14:textId="5EC88D97" w:rsidR="007B4BFE" w:rsidRPr="000E450D" w:rsidRDefault="007B4BFE" w:rsidP="007C5673">
      <w:pPr>
        <w:pStyle w:val="Heading1"/>
        <w:keepLines/>
        <w:spacing w:before="240"/>
      </w:pPr>
      <w:r w:rsidRPr="000E450D">
        <w:t>Retail trade</w:t>
      </w:r>
      <w:bookmarkEnd w:id="34"/>
      <w:r w:rsidRPr="000E450D">
        <w:t xml:space="preserve"> </w:t>
      </w:r>
    </w:p>
    <w:bookmarkStart w:id="35" w:name="_Toc153368258"/>
    <w:p w14:paraId="0363CC8F" w14:textId="4472C581" w:rsidR="007B4BFE" w:rsidRPr="00376FAA" w:rsidRDefault="00903B6A" w:rsidP="007C5673">
      <w:pPr>
        <w:pStyle w:val="SWASectionnumberingheading"/>
        <w:numPr>
          <w:ilvl w:val="0"/>
          <w:numId w:val="0"/>
        </w:numPr>
        <w:spacing w:before="240"/>
        <w:rPr>
          <w:sz w:val="20"/>
          <w:szCs w:val="20"/>
        </w:rPr>
      </w:pPr>
      <w:r>
        <w:rPr>
          <w:noProof/>
        </w:rPr>
        <mc:AlternateContent>
          <mc:Choice Requires="wpg">
            <w:drawing>
              <wp:anchor distT="0" distB="0" distL="114300" distR="114300" simplePos="0" relativeHeight="251673600" behindDoc="0" locked="0" layoutInCell="1" allowOverlap="1" wp14:anchorId="6FE1770E" wp14:editId="0C6BD1F5">
                <wp:simplePos x="0" y="0"/>
                <wp:positionH relativeFrom="margin">
                  <wp:posOffset>-337294</wp:posOffset>
                </wp:positionH>
                <wp:positionV relativeFrom="paragraph">
                  <wp:posOffset>305282</wp:posOffset>
                </wp:positionV>
                <wp:extent cx="6623050" cy="3105807"/>
                <wp:effectExtent l="0" t="0" r="6350" b="0"/>
                <wp:wrapNone/>
                <wp:docPr id="81" name="Group 80">
                  <a:extLst xmlns:a="http://schemas.openxmlformats.org/drawingml/2006/main">
                    <a:ext uri="{FF2B5EF4-FFF2-40B4-BE49-F238E27FC236}">
                      <a16:creationId xmlns:a16="http://schemas.microsoft.com/office/drawing/2014/main" id="{1C0ABB33-CF73-46EC-A62D-F3646C0AA1D4}"/>
                    </a:ext>
                  </a:extLst>
                </wp:docPr>
                <wp:cNvGraphicFramePr/>
                <a:graphic xmlns:a="http://schemas.openxmlformats.org/drawingml/2006/main">
                  <a:graphicData uri="http://schemas.microsoft.com/office/word/2010/wordprocessingGroup">
                    <wpg:wgp>
                      <wpg:cNvGrpSpPr/>
                      <wpg:grpSpPr>
                        <a:xfrm>
                          <a:off x="0" y="0"/>
                          <a:ext cx="6623050" cy="3105807"/>
                          <a:chOff x="0" y="0"/>
                          <a:chExt cx="6375415" cy="2935944"/>
                        </a:xfrm>
                      </wpg:grpSpPr>
                      <wpg:graphicFrame>
                        <wpg:cNvPr id="288033980" name="Chart 288033980">
                          <a:extLst>
                            <a:ext uri="{FF2B5EF4-FFF2-40B4-BE49-F238E27FC236}">
                              <a16:creationId xmlns:a16="http://schemas.microsoft.com/office/drawing/2014/main" id="{980CE150-E3BA-4DCA-8D37-AA9CEE9E711A}"/>
                            </a:ext>
                          </a:extLst>
                        </wpg:cNvPr>
                        <wpg:cNvFrPr>
                          <a:graphicFrameLocks/>
                        </wpg:cNvFrPr>
                        <wpg:xfrm>
                          <a:off x="0" y="0"/>
                          <a:ext cx="6375415" cy="2935944"/>
                        </wpg:xfrm>
                        <a:graphic>
                          <a:graphicData uri="http://schemas.openxmlformats.org/drawingml/2006/chart">
                            <c:chart xmlns:c="http://schemas.openxmlformats.org/drawingml/2006/chart" xmlns:r="http://schemas.openxmlformats.org/officeDocument/2006/relationships" r:id="rId42"/>
                          </a:graphicData>
                        </a:graphic>
                      </wpg:graphicFrame>
                      <wps:wsp>
                        <wps:cNvPr id="1992744294" name="Rectangle 1992744294">
                          <a:extLst>
                            <a:ext uri="{FF2B5EF4-FFF2-40B4-BE49-F238E27FC236}">
                              <a16:creationId xmlns:a16="http://schemas.microsoft.com/office/drawing/2014/main" id="{33EAF665-9203-41E4-B450-FA6C2B1ABD55}"/>
                            </a:ext>
                          </a:extLst>
                        </wps:cNvPr>
                        <wps:cNvSpPr>
                          <a:spLocks noChangeArrowheads="1"/>
                        </wps:cNvSpPr>
                        <wps:spPr bwMode="auto">
                          <a:xfrm flipV="1">
                            <a:off x="1333408" y="2716528"/>
                            <a:ext cx="4415342" cy="156882"/>
                          </a:xfrm>
                          <a:prstGeom prst="rect">
                            <a:avLst/>
                          </a:prstGeom>
                          <a:solidFill>
                            <a:srgbClr val="FFFFFF"/>
                          </a:solidFill>
                          <a:ln w="9525">
                            <a:noFill/>
                            <a:miter lim="800000"/>
                            <a:headEnd/>
                            <a:tailEnd/>
                          </a:ln>
                        </wps:spPr>
                        <wps:bodyPr wrap="square"/>
                      </wps:wsp>
                    </wpg:wgp>
                  </a:graphicData>
                </a:graphic>
                <wp14:sizeRelH relativeFrom="margin">
                  <wp14:pctWidth>0</wp14:pctWidth>
                </wp14:sizeRelH>
                <wp14:sizeRelV relativeFrom="margin">
                  <wp14:pctHeight>0</wp14:pctHeight>
                </wp14:sizeRelV>
              </wp:anchor>
            </w:drawing>
          </mc:Choice>
          <mc:Fallback>
            <w:pict>
              <v:group w14:anchorId="1E07E320" id="Group 80" o:spid="_x0000_s1026" style="position:absolute;margin-left:-26.55pt;margin-top:24.05pt;width:521.5pt;height:244.55pt;z-index:251673600;mso-position-horizontal-relative:margin;mso-width-relative:margin;mso-height-relative:margin" coordsize="63754,29359"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">
                <v:shape id="Chart 288033980" o:spid="_x0000_s1027" type="#_x0000_t75" style="position:absolute;width:63727;height:29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">
                  <v:imagedata r:id="rId43" o:title=""/>
                  <o:lock v:ext="edit" aspectratio="f"/>
                </v:shape>
                <v:rect id="Rectangle 1992744294" o:spid="_x0000_s1028" style="position:absolute;left:13334;top:27165;width:44153;height:15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" stroked="f"/>
                <w10:wrap anchorx="margin"/>
              </v:group>
            </w:pict>
          </mc:Fallback>
        </mc:AlternateContent>
      </w:r>
      <w:r w:rsidR="007B4BFE" w:rsidRPr="00376FAA">
        <w:rPr>
          <w:sz w:val="20"/>
          <w:szCs w:val="20"/>
        </w:rPr>
        <w:t>Standardised premium rates for Retail trade by jurisdiction</w:t>
      </w:r>
      <w:r w:rsidR="003E3FD6">
        <w:rPr>
          <w:sz w:val="20"/>
          <w:szCs w:val="20"/>
        </w:rPr>
        <w:t xml:space="preserve"> (previously i</w:t>
      </w:r>
      <w:r w:rsidR="003E3FD6" w:rsidRPr="00376FAA">
        <w:rPr>
          <w:sz w:val="20"/>
          <w:szCs w:val="20"/>
        </w:rPr>
        <w:t>ndicator 14g</w:t>
      </w:r>
      <w:r w:rsidR="003E3FD6">
        <w:rPr>
          <w:sz w:val="20"/>
          <w:szCs w:val="20"/>
        </w:rPr>
        <w:t>)</w:t>
      </w:r>
      <w:bookmarkEnd w:id="35"/>
    </w:p>
    <w:p w14:paraId="3C3D9303" w14:textId="21E542F0" w:rsidR="003E3FD6" w:rsidRDefault="003E3FD6" w:rsidP="00A52E33">
      <w:pPr>
        <w:spacing w:before="0"/>
      </w:pPr>
      <w:bookmarkStart w:id="36" w:name="_Toc80289681"/>
    </w:p>
    <w:p w14:paraId="55F61119" w14:textId="39141961" w:rsidR="003E3FD6" w:rsidRDefault="003E3FD6" w:rsidP="00A52E33">
      <w:pPr>
        <w:spacing w:before="0"/>
      </w:pPr>
    </w:p>
    <w:p w14:paraId="41EBD95A" w14:textId="655FE261" w:rsidR="003E3FD6" w:rsidRDefault="003E3FD6" w:rsidP="00A52E33">
      <w:pPr>
        <w:spacing w:before="0"/>
      </w:pPr>
    </w:p>
    <w:p w14:paraId="223E1672" w14:textId="7CEF8D5B" w:rsidR="003E3FD6" w:rsidRDefault="003E3FD6" w:rsidP="00A52E33">
      <w:pPr>
        <w:spacing w:before="0"/>
      </w:pPr>
    </w:p>
    <w:p w14:paraId="08E96E3D" w14:textId="77777777" w:rsidR="003E3FD6" w:rsidRDefault="003E3FD6" w:rsidP="00A52E33">
      <w:pPr>
        <w:spacing w:before="0"/>
      </w:pPr>
    </w:p>
    <w:p w14:paraId="17143C8C" w14:textId="02140D8D" w:rsidR="003E3FD6" w:rsidRDefault="003E3FD6" w:rsidP="00A52E33">
      <w:pPr>
        <w:spacing w:before="0"/>
      </w:pPr>
    </w:p>
    <w:p w14:paraId="488A103A" w14:textId="4646C66F" w:rsidR="003E3FD6" w:rsidRDefault="003E3FD6" w:rsidP="00A52E33">
      <w:pPr>
        <w:spacing w:before="0"/>
      </w:pPr>
    </w:p>
    <w:p w14:paraId="7523006B" w14:textId="77777777" w:rsidR="003E3FD6" w:rsidRDefault="003E3FD6" w:rsidP="00A52E33">
      <w:pPr>
        <w:spacing w:before="0"/>
      </w:pPr>
    </w:p>
    <w:p w14:paraId="139AED95" w14:textId="77777777" w:rsidR="003E3FD6" w:rsidRDefault="003E3FD6" w:rsidP="00A52E33">
      <w:pPr>
        <w:spacing w:before="0"/>
      </w:pPr>
    </w:p>
    <w:p w14:paraId="451CAE1B" w14:textId="77777777" w:rsidR="003E3FD6" w:rsidRDefault="003E3FD6" w:rsidP="00A52E33">
      <w:pPr>
        <w:spacing w:before="0"/>
      </w:pPr>
    </w:p>
    <w:p w14:paraId="35415578" w14:textId="77777777" w:rsidR="003E3FD6" w:rsidRDefault="003E3FD6" w:rsidP="00A52E33">
      <w:pPr>
        <w:spacing w:before="0"/>
      </w:pPr>
    </w:p>
    <w:p w14:paraId="7CB437C1" w14:textId="77777777" w:rsidR="003E3FD6" w:rsidRDefault="003E3FD6" w:rsidP="00A52E33">
      <w:pPr>
        <w:spacing w:before="0"/>
      </w:pPr>
    </w:p>
    <w:p w14:paraId="338108A3" w14:textId="77777777" w:rsidR="003E3FD6" w:rsidRDefault="003E3FD6" w:rsidP="00A52E33">
      <w:pPr>
        <w:spacing w:before="0"/>
      </w:pPr>
    </w:p>
    <w:p w14:paraId="292A76FA" w14:textId="77777777" w:rsidR="003E3FD6" w:rsidRDefault="003E3FD6" w:rsidP="00A52E33">
      <w:pPr>
        <w:spacing w:before="0"/>
      </w:pPr>
    </w:p>
    <w:p w14:paraId="2965DF35" w14:textId="77777777" w:rsidR="003E3FD6" w:rsidRDefault="003E3FD6" w:rsidP="00A52E33">
      <w:pPr>
        <w:spacing w:before="0"/>
      </w:pPr>
    </w:p>
    <w:p w14:paraId="1C12266A" w14:textId="77777777" w:rsidR="003E3FD6" w:rsidRDefault="003E3FD6" w:rsidP="00A52E33">
      <w:pPr>
        <w:spacing w:before="0"/>
      </w:pPr>
    </w:p>
    <w:p w14:paraId="0047E676" w14:textId="77777777" w:rsidR="003E3FD6" w:rsidRDefault="003E3FD6" w:rsidP="00A52E33">
      <w:pPr>
        <w:spacing w:before="0"/>
      </w:pPr>
    </w:p>
    <w:p w14:paraId="5CC94A79" w14:textId="77777777" w:rsidR="003E3FD6" w:rsidRDefault="003E3FD6" w:rsidP="00A52E33">
      <w:pPr>
        <w:spacing w:before="0"/>
      </w:pPr>
    </w:p>
    <w:p w14:paraId="3A4A6D8F" w14:textId="77777777" w:rsidR="003E3FD6" w:rsidRDefault="003E3FD6" w:rsidP="00A52E33">
      <w:pPr>
        <w:spacing w:before="0"/>
      </w:pPr>
    </w:p>
    <w:p w14:paraId="14F50F5F" w14:textId="77777777" w:rsidR="003E3FD6" w:rsidRDefault="003E3FD6" w:rsidP="00A52E33">
      <w:pPr>
        <w:spacing w:before="0"/>
      </w:pPr>
    </w:p>
    <w:p w14:paraId="05FF896E" w14:textId="6135891D" w:rsidR="003E3FD6" w:rsidRDefault="003E3FD6" w:rsidP="00A52E33">
      <w:pPr>
        <w:spacing w:before="0"/>
      </w:pPr>
    </w:p>
    <w:p w14:paraId="5DD8459A" w14:textId="77777777" w:rsidR="003E3FD6" w:rsidRDefault="003E3FD6" w:rsidP="00A52E33">
      <w:pPr>
        <w:spacing w:before="0"/>
      </w:pPr>
    </w:p>
    <w:p w14:paraId="28F674A6" w14:textId="77777777"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212AF66F" w14:textId="3D3F465D" w:rsidR="003E3FD6" w:rsidRDefault="003E3FD6" w:rsidP="00A52E33">
      <w:pPr>
        <w:spacing w:before="0"/>
      </w:pPr>
    </w:p>
    <w:p w14:paraId="13EA1E8E" w14:textId="64F24B37" w:rsidR="007B4BFE" w:rsidRPr="00285B6A" w:rsidRDefault="007B4BFE" w:rsidP="007C5673">
      <w:pPr>
        <w:pStyle w:val="Heading1"/>
        <w:spacing w:before="240"/>
      </w:pPr>
      <w:r w:rsidRPr="00285B6A">
        <w:t>Accommodation</w:t>
      </w:r>
      <w:r w:rsidR="00592E49">
        <w:t xml:space="preserve"> and food services</w:t>
      </w:r>
      <w:bookmarkEnd w:id="36"/>
      <w:r w:rsidRPr="00285B6A">
        <w:t xml:space="preserve"> </w:t>
      </w:r>
    </w:p>
    <w:p w14:paraId="400B913D" w14:textId="77D5AAC8" w:rsidR="007B4BFE" w:rsidRPr="00376FAA" w:rsidRDefault="007B4BFE" w:rsidP="007C5673">
      <w:pPr>
        <w:pStyle w:val="SWASectionnumberingheading"/>
        <w:numPr>
          <w:ilvl w:val="0"/>
          <w:numId w:val="0"/>
        </w:numPr>
        <w:spacing w:before="240"/>
        <w:rPr>
          <w:sz w:val="20"/>
          <w:szCs w:val="20"/>
        </w:rPr>
      </w:pPr>
      <w:bookmarkStart w:id="37" w:name="_Toc153368259"/>
      <w:r w:rsidRPr="00376FAA">
        <w:rPr>
          <w:sz w:val="20"/>
          <w:szCs w:val="20"/>
        </w:rPr>
        <w:t>Standardised premium rates for Accommodation</w:t>
      </w:r>
      <w:r w:rsidR="00047378" w:rsidRPr="00376FAA">
        <w:rPr>
          <w:sz w:val="20"/>
          <w:szCs w:val="20"/>
        </w:rPr>
        <w:t xml:space="preserve"> and food services</w:t>
      </w:r>
      <w:r w:rsidRPr="00376FAA">
        <w:rPr>
          <w:sz w:val="20"/>
          <w:szCs w:val="20"/>
        </w:rPr>
        <w:t xml:space="preserve"> by jurisdiction</w:t>
      </w:r>
      <w:r w:rsidR="003E3FD6">
        <w:rPr>
          <w:sz w:val="20"/>
          <w:szCs w:val="20"/>
        </w:rPr>
        <w:t xml:space="preserve"> (previously </w:t>
      </w:r>
      <w:r w:rsidR="002863C9">
        <w:rPr>
          <w:sz w:val="20"/>
          <w:szCs w:val="20"/>
        </w:rPr>
        <w:t>i</w:t>
      </w:r>
      <w:r w:rsidR="003E3FD6" w:rsidRPr="00376FAA">
        <w:rPr>
          <w:sz w:val="20"/>
          <w:szCs w:val="20"/>
        </w:rPr>
        <w:t>ndicator 14h</w:t>
      </w:r>
      <w:r w:rsidR="003E3FD6">
        <w:rPr>
          <w:sz w:val="20"/>
          <w:szCs w:val="20"/>
        </w:rPr>
        <w:t>)</w:t>
      </w:r>
      <w:bookmarkEnd w:id="37"/>
    </w:p>
    <w:bookmarkStart w:id="38" w:name="_Toc80289682"/>
    <w:p w14:paraId="6C68BB07" w14:textId="223C2BBD" w:rsidR="00FA30E4" w:rsidRDefault="00FA30E4" w:rsidP="005F541E">
      <w:pPr>
        <w:spacing w:before="0" w:after="200" w:line="276" w:lineRule="auto"/>
      </w:pPr>
      <w:r>
        <w:rPr>
          <w:noProof/>
        </w:rPr>
        <mc:AlternateContent>
          <mc:Choice Requires="wpg">
            <w:drawing>
              <wp:anchor distT="0" distB="0" distL="114300" distR="114300" simplePos="0" relativeHeight="251675648" behindDoc="0" locked="0" layoutInCell="1" allowOverlap="1" wp14:anchorId="2253F3B8" wp14:editId="616D09AD">
                <wp:simplePos x="0" y="0"/>
                <wp:positionH relativeFrom="margin">
                  <wp:posOffset>21266</wp:posOffset>
                </wp:positionH>
                <wp:positionV relativeFrom="paragraph">
                  <wp:posOffset>48438</wp:posOffset>
                </wp:positionV>
                <wp:extent cx="6290442" cy="3200400"/>
                <wp:effectExtent l="0" t="0" r="0" b="0"/>
                <wp:wrapNone/>
                <wp:docPr id="82" name="Group 81">
                  <a:extLst xmlns:a="http://schemas.openxmlformats.org/drawingml/2006/main">
                    <a:ext uri="{FF2B5EF4-FFF2-40B4-BE49-F238E27FC236}">
                      <a16:creationId xmlns:a16="http://schemas.microsoft.com/office/drawing/2014/main" id="{ACE5BA11-BAD0-4F39-8B9E-9733A7A027BF}"/>
                    </a:ext>
                  </a:extLst>
                </wp:docPr>
                <wp:cNvGraphicFramePr/>
                <a:graphic xmlns:a="http://schemas.openxmlformats.org/drawingml/2006/main">
                  <a:graphicData uri="http://schemas.microsoft.com/office/word/2010/wordprocessingGroup">
                    <wpg:wgp>
                      <wpg:cNvGrpSpPr/>
                      <wpg:grpSpPr>
                        <a:xfrm>
                          <a:off x="0" y="0"/>
                          <a:ext cx="6290442" cy="3200400"/>
                          <a:chOff x="0" y="0"/>
                          <a:chExt cx="6353736" cy="3042957"/>
                        </a:xfrm>
                      </wpg:grpSpPr>
                      <wpg:graphicFrame>
                        <wpg:cNvPr id="213913977" name="Chart 213913977">
                          <a:extLst>
                            <a:ext uri="{FF2B5EF4-FFF2-40B4-BE49-F238E27FC236}">
                              <a16:creationId xmlns:a16="http://schemas.microsoft.com/office/drawing/2014/main" id="{91D8597B-3559-4749-A431-BDB27BB78A18}"/>
                            </a:ext>
                          </a:extLst>
                        </wpg:cNvPr>
                        <wpg:cNvFrPr>
                          <a:graphicFrameLocks/>
                        </wpg:cNvFrPr>
                        <wpg:xfrm>
                          <a:off x="0" y="0"/>
                          <a:ext cx="6353736" cy="3042957"/>
                        </wpg:xfrm>
                        <a:graphic>
                          <a:graphicData uri="http://schemas.openxmlformats.org/drawingml/2006/chart">
                            <c:chart xmlns:c="http://schemas.openxmlformats.org/drawingml/2006/chart" xmlns:r="http://schemas.openxmlformats.org/officeDocument/2006/relationships" r:id="rId44"/>
                          </a:graphicData>
                        </a:graphic>
                      </wpg:graphicFrame>
                      <wps:wsp>
                        <wps:cNvPr id="763218340" name="Rectangle 763218340">
                          <a:extLst>
                            <a:ext uri="{FF2B5EF4-FFF2-40B4-BE49-F238E27FC236}">
                              <a16:creationId xmlns:a16="http://schemas.microsoft.com/office/drawing/2014/main" id="{27AA238D-6A7F-45D8-A35B-DB4241452B28}"/>
                            </a:ext>
                          </a:extLst>
                        </wps:cNvPr>
                        <wps:cNvSpPr>
                          <a:spLocks noChangeArrowheads="1"/>
                        </wps:cNvSpPr>
                        <wps:spPr bwMode="auto">
                          <a:xfrm flipV="1">
                            <a:off x="1242336" y="2800810"/>
                            <a:ext cx="4415342" cy="156882"/>
                          </a:xfrm>
                          <a:prstGeom prst="rect">
                            <a:avLst/>
                          </a:prstGeom>
                          <a:solidFill>
                            <a:srgbClr val="FFFFFF"/>
                          </a:solidFill>
                          <a:ln w="9525">
                            <a:noFill/>
                            <a:miter lim="800000"/>
                            <a:headEnd/>
                            <a:tailEnd/>
                          </a:ln>
                        </wps:spPr>
                        <wps:bodyPr wrap="square"/>
                      </wps:wsp>
                    </wpg:wgp>
                  </a:graphicData>
                </a:graphic>
                <wp14:sizeRelH relativeFrom="margin">
                  <wp14:pctWidth>0</wp14:pctWidth>
                </wp14:sizeRelH>
              </wp:anchor>
            </w:drawing>
          </mc:Choice>
          <mc:Fallback>
            <w:pict>
              <v:group w14:anchorId="00E2A47A" id="Group 81" o:spid="_x0000_s1026" style="position:absolute;margin-left:1.65pt;margin-top:3.8pt;width:495.3pt;height:252pt;z-index:251675648;mso-position-horizontal-relative:margin;mso-width-relative:margin" coordsize="63537,30429"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">
                <v:shape id="Chart 213913977" o:spid="_x0000_s1027" type="#_x0000_t75" style="position:absolute;width:63543;height:30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">
                  <v:imagedata r:id="rId45" o:title=""/>
                  <o:lock v:ext="edit" aspectratio="f"/>
                </v:shape>
                <v:rect id="Rectangle 763218340" o:spid="_x0000_s1028" style="position:absolute;left:12423;top:28008;width:44153;height:15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" stroked="f"/>
                <w10:wrap anchorx="margin"/>
              </v:group>
            </w:pict>
          </mc:Fallback>
        </mc:AlternateContent>
      </w:r>
    </w:p>
    <w:p w14:paraId="40D4CC10" w14:textId="74FC2C46" w:rsidR="00FA30E4" w:rsidRDefault="00FA30E4" w:rsidP="005F541E">
      <w:pPr>
        <w:spacing w:before="0" w:after="200" w:line="276" w:lineRule="auto"/>
      </w:pPr>
    </w:p>
    <w:p w14:paraId="6C04EC02" w14:textId="77777777" w:rsidR="00FA30E4" w:rsidRDefault="00FA30E4" w:rsidP="005F541E">
      <w:pPr>
        <w:spacing w:before="0" w:after="200" w:line="276" w:lineRule="auto"/>
      </w:pPr>
    </w:p>
    <w:p w14:paraId="6AEA000C" w14:textId="382C3A30" w:rsidR="00FA30E4" w:rsidRDefault="00FA30E4" w:rsidP="005F541E">
      <w:pPr>
        <w:spacing w:before="0" w:after="200" w:line="276" w:lineRule="auto"/>
      </w:pPr>
    </w:p>
    <w:p w14:paraId="7C201139" w14:textId="77777777" w:rsidR="00FA30E4" w:rsidRDefault="00FA30E4" w:rsidP="005F541E">
      <w:pPr>
        <w:spacing w:before="0" w:after="200" w:line="276" w:lineRule="auto"/>
      </w:pPr>
    </w:p>
    <w:p w14:paraId="245DE3D8" w14:textId="77777777" w:rsidR="00FA30E4" w:rsidRDefault="00FA30E4" w:rsidP="005F541E">
      <w:pPr>
        <w:spacing w:before="0" w:after="200" w:line="276" w:lineRule="auto"/>
      </w:pPr>
    </w:p>
    <w:p w14:paraId="4AC9EC94" w14:textId="77777777" w:rsidR="00FA30E4" w:rsidRDefault="00FA30E4" w:rsidP="005F541E">
      <w:pPr>
        <w:spacing w:before="0" w:after="200" w:line="276" w:lineRule="auto"/>
      </w:pPr>
    </w:p>
    <w:p w14:paraId="2A57888A" w14:textId="77777777" w:rsidR="00FA30E4" w:rsidRDefault="00FA30E4" w:rsidP="005F541E">
      <w:pPr>
        <w:spacing w:before="0" w:after="200" w:line="276" w:lineRule="auto"/>
      </w:pPr>
    </w:p>
    <w:p w14:paraId="15E71E88" w14:textId="77777777" w:rsidR="00FA30E4" w:rsidRDefault="00FA30E4" w:rsidP="005F541E">
      <w:pPr>
        <w:spacing w:before="0" w:after="200" w:line="276" w:lineRule="auto"/>
      </w:pPr>
    </w:p>
    <w:p w14:paraId="713BFE20" w14:textId="77777777" w:rsidR="00FA30E4" w:rsidRDefault="00FA30E4" w:rsidP="005F541E">
      <w:pPr>
        <w:spacing w:before="0" w:after="200" w:line="276" w:lineRule="auto"/>
      </w:pPr>
    </w:p>
    <w:p w14:paraId="4A6E37DD" w14:textId="77777777" w:rsidR="00FA30E4" w:rsidRDefault="00FA30E4" w:rsidP="005F541E">
      <w:pPr>
        <w:spacing w:before="0" w:after="200" w:line="276" w:lineRule="auto"/>
      </w:pPr>
    </w:p>
    <w:p w14:paraId="7A0D0128" w14:textId="14BDE9B5" w:rsidR="00FA30E4" w:rsidRPr="009968C2" w:rsidRDefault="00FA30E4" w:rsidP="009968C2">
      <w:pPr>
        <w:spacing w:before="0" w:after="200" w:line="276" w:lineRule="auto"/>
        <w:jc w:val="left"/>
        <w:rPr>
          <w:sz w:val="16"/>
          <w:szCs w:val="20"/>
        </w:rPr>
      </w:pPr>
      <w:r>
        <w:rPr>
          <w:sz w:val="16"/>
          <w:szCs w:val="20"/>
        </w:rPr>
        <w:t>ACT Private – only includes data from the Australian Capital Territory private sector.</w:t>
      </w:r>
    </w:p>
    <w:p w14:paraId="0339AE17" w14:textId="2B4C1E89" w:rsidR="00BF789A" w:rsidRDefault="00BF789A" w:rsidP="005F541E">
      <w:pPr>
        <w:spacing w:before="0" w:after="200" w:line="276" w:lineRule="auto"/>
        <w:rPr>
          <w:rFonts w:ascii="Arial Bold" w:eastAsiaTheme="majorEastAsia" w:hAnsi="Arial Bold" w:cs="Arial"/>
          <w:b/>
          <w:kern w:val="32"/>
          <w:sz w:val="28"/>
          <w:szCs w:val="22"/>
        </w:rPr>
      </w:pPr>
      <w:r>
        <w:br w:type="page"/>
      </w:r>
    </w:p>
    <w:p w14:paraId="38306D0D" w14:textId="3C9C8D46" w:rsidR="007B4BFE" w:rsidRPr="00285B6A" w:rsidRDefault="007B4BFE" w:rsidP="007C5673">
      <w:pPr>
        <w:pStyle w:val="Heading1"/>
        <w:spacing w:before="240"/>
      </w:pPr>
      <w:r w:rsidRPr="00285B6A">
        <w:t>Transport</w:t>
      </w:r>
      <w:r w:rsidR="00592E49">
        <w:t>, postal and warehousing</w:t>
      </w:r>
      <w:bookmarkEnd w:id="38"/>
      <w:r w:rsidRPr="00285B6A">
        <w:t xml:space="preserve"> </w:t>
      </w:r>
    </w:p>
    <w:p w14:paraId="67437807" w14:textId="524CEC99" w:rsidR="007B4BFE" w:rsidRPr="00376FAA" w:rsidRDefault="007B4BFE" w:rsidP="007C5673">
      <w:pPr>
        <w:pStyle w:val="SWASectionnumberingheading"/>
        <w:numPr>
          <w:ilvl w:val="0"/>
          <w:numId w:val="0"/>
        </w:numPr>
        <w:spacing w:before="240"/>
        <w:rPr>
          <w:sz w:val="20"/>
          <w:szCs w:val="20"/>
        </w:rPr>
      </w:pPr>
      <w:bookmarkStart w:id="39" w:name="_Toc153368260"/>
      <w:r w:rsidRPr="00376FAA">
        <w:rPr>
          <w:sz w:val="20"/>
          <w:szCs w:val="20"/>
        </w:rPr>
        <w:t>Standardised premium rates for Transport</w:t>
      </w:r>
      <w:r w:rsidR="00047378" w:rsidRPr="00376FAA">
        <w:rPr>
          <w:sz w:val="20"/>
          <w:szCs w:val="20"/>
        </w:rPr>
        <w:t>, postal</w:t>
      </w:r>
      <w:r w:rsidRPr="00376FAA">
        <w:rPr>
          <w:sz w:val="20"/>
          <w:szCs w:val="20"/>
        </w:rPr>
        <w:t xml:space="preserve"> and </w:t>
      </w:r>
      <w:r w:rsidR="00047378" w:rsidRPr="00376FAA">
        <w:rPr>
          <w:sz w:val="20"/>
          <w:szCs w:val="20"/>
        </w:rPr>
        <w:t xml:space="preserve">warehousing </w:t>
      </w:r>
      <w:r w:rsidRPr="00376FAA">
        <w:rPr>
          <w:sz w:val="20"/>
          <w:szCs w:val="20"/>
        </w:rPr>
        <w:t>by jurisdiction</w:t>
      </w:r>
      <w:r w:rsidR="003E3FD6">
        <w:rPr>
          <w:sz w:val="20"/>
          <w:szCs w:val="20"/>
        </w:rPr>
        <w:t xml:space="preserve"> (previously i</w:t>
      </w:r>
      <w:r w:rsidR="003E3FD6" w:rsidRPr="00376FAA">
        <w:rPr>
          <w:sz w:val="20"/>
          <w:szCs w:val="20"/>
        </w:rPr>
        <w:t>ndicator 14</w:t>
      </w:r>
      <w:r w:rsidR="003E3FD6">
        <w:rPr>
          <w:sz w:val="20"/>
          <w:szCs w:val="20"/>
        </w:rPr>
        <w:t>i)</w:t>
      </w:r>
      <w:bookmarkEnd w:id="39"/>
    </w:p>
    <w:p w14:paraId="22609563" w14:textId="2CAB4378" w:rsidR="007B4BFE" w:rsidRDefault="00903B6A" w:rsidP="005F541E">
      <w:pPr>
        <w:spacing w:before="0"/>
        <w:rPr>
          <w:lang w:val="en-GB"/>
        </w:rPr>
      </w:pPr>
      <w:r>
        <w:rPr>
          <w:noProof/>
        </w:rPr>
        <mc:AlternateContent>
          <mc:Choice Requires="wpg">
            <w:drawing>
              <wp:anchor distT="0" distB="0" distL="114300" distR="114300" simplePos="0" relativeHeight="251677696" behindDoc="0" locked="0" layoutInCell="1" allowOverlap="1" wp14:anchorId="3B07177A" wp14:editId="7327CE83">
                <wp:simplePos x="0" y="0"/>
                <wp:positionH relativeFrom="margin">
                  <wp:align>left</wp:align>
                </wp:positionH>
                <wp:positionV relativeFrom="paragraph">
                  <wp:posOffset>2671</wp:posOffset>
                </wp:positionV>
                <wp:extent cx="6392545" cy="3184635"/>
                <wp:effectExtent l="0" t="0" r="8255" b="0"/>
                <wp:wrapNone/>
                <wp:docPr id="83" name="Group 82">
                  <a:extLst xmlns:a="http://schemas.openxmlformats.org/drawingml/2006/main">
                    <a:ext uri="{FF2B5EF4-FFF2-40B4-BE49-F238E27FC236}">
                      <a16:creationId xmlns:a16="http://schemas.microsoft.com/office/drawing/2014/main" id="{1EDF4F00-C8DB-4B74-9243-23DB5C9F2335}"/>
                    </a:ext>
                  </a:extLst>
                </wp:docPr>
                <wp:cNvGraphicFramePr/>
                <a:graphic xmlns:a="http://schemas.openxmlformats.org/drawingml/2006/main">
                  <a:graphicData uri="http://schemas.microsoft.com/office/word/2010/wordprocessingGroup">
                    <wpg:wgp>
                      <wpg:cNvGrpSpPr/>
                      <wpg:grpSpPr>
                        <a:xfrm>
                          <a:off x="0" y="0"/>
                          <a:ext cx="6392545" cy="3184635"/>
                          <a:chOff x="0" y="0"/>
                          <a:chExt cx="6353736" cy="3002270"/>
                        </a:xfrm>
                      </wpg:grpSpPr>
                      <wpg:graphicFrame>
                        <wpg:cNvPr id="521490405" name="Chart 521490405">
                          <a:extLst>
                            <a:ext uri="{FF2B5EF4-FFF2-40B4-BE49-F238E27FC236}">
                              <a16:creationId xmlns:a16="http://schemas.microsoft.com/office/drawing/2014/main" id="{42278C66-6B1A-489E-8FED-070AB60C712D}"/>
                            </a:ext>
                          </a:extLst>
                        </wpg:cNvPr>
                        <wpg:cNvFrPr>
                          <a:graphicFrameLocks/>
                        </wpg:cNvFrPr>
                        <wpg:xfrm>
                          <a:off x="0" y="0"/>
                          <a:ext cx="6353736" cy="3002270"/>
                        </wpg:xfrm>
                        <a:graphic>
                          <a:graphicData uri="http://schemas.openxmlformats.org/drawingml/2006/chart">
                            <c:chart xmlns:c="http://schemas.openxmlformats.org/drawingml/2006/chart" xmlns:r="http://schemas.openxmlformats.org/officeDocument/2006/relationships" r:id="rId46"/>
                          </a:graphicData>
                        </a:graphic>
                      </wpg:graphicFrame>
                      <wps:wsp>
                        <wps:cNvPr id="1950767423" name="Rectangle 1950767423">
                          <a:extLst>
                            <a:ext uri="{FF2B5EF4-FFF2-40B4-BE49-F238E27FC236}">
                              <a16:creationId xmlns:a16="http://schemas.microsoft.com/office/drawing/2014/main" id="{5CD1A355-DF55-4633-B51F-90DBE8256D84}"/>
                            </a:ext>
                          </a:extLst>
                        </wps:cNvPr>
                        <wps:cNvSpPr>
                          <a:spLocks noChangeArrowheads="1"/>
                        </wps:cNvSpPr>
                        <wps:spPr bwMode="auto">
                          <a:xfrm flipV="1">
                            <a:off x="1305098" y="2809582"/>
                            <a:ext cx="4413437" cy="156882"/>
                          </a:xfrm>
                          <a:prstGeom prst="rect">
                            <a:avLst/>
                          </a:prstGeom>
                          <a:solidFill>
                            <a:srgbClr val="FFFFFF"/>
                          </a:solidFill>
                          <a:ln w="9525">
                            <a:noFill/>
                            <a:miter lim="800000"/>
                            <a:headEnd/>
                            <a:tailEnd/>
                          </a:ln>
                        </wps:spPr>
                        <wps:bodyPr wrap="square"/>
                      </wps:wsp>
                    </wpg:wgp>
                  </a:graphicData>
                </a:graphic>
                <wp14:sizeRelV relativeFrom="margin">
                  <wp14:pctHeight>0</wp14:pctHeight>
                </wp14:sizeRelV>
              </wp:anchor>
            </w:drawing>
          </mc:Choice>
          <mc:Fallback>
            <w:pict>
              <v:group w14:anchorId="35AB9E2E" id="Group 82" o:spid="_x0000_s1026" style="position:absolute;margin-left:0;margin-top:.2pt;width:503.35pt;height:250.75pt;z-index:251677696;mso-position-horizontal:left;mso-position-horizontal-relative:margin;mso-height-relative:margin" coordsize="63537,3002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">
                <v:shape id="Chart 521490405" o:spid="_x0000_s1027" type="#_x0000_t75" style="position:absolute;width:63558;height:299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">
                  <v:imagedata r:id="rId47" o:title=""/>
                  <o:lock v:ext="edit" aspectratio="f"/>
                </v:shape>
                <v:rect id="Rectangle 1950767423" o:spid="_x0000_s1028" style="position:absolute;left:13050;top:28095;width:44135;height:15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" stroked="f"/>
                <w10:wrap anchorx="margin"/>
              </v:group>
            </w:pict>
          </mc:Fallback>
        </mc:AlternateContent>
      </w:r>
    </w:p>
    <w:p w14:paraId="41FA26E9" w14:textId="7D02BA76" w:rsidR="003E3FD6" w:rsidRDefault="003E3FD6">
      <w:pPr>
        <w:spacing w:before="0" w:after="200" w:line="276" w:lineRule="auto"/>
        <w:jc w:val="left"/>
      </w:pPr>
      <w:bookmarkStart w:id="40" w:name="_Toc80289683"/>
    </w:p>
    <w:p w14:paraId="64E294EE" w14:textId="77777777" w:rsidR="003E3FD6" w:rsidRDefault="003E3FD6">
      <w:pPr>
        <w:spacing w:before="0" w:after="200" w:line="276" w:lineRule="auto"/>
        <w:jc w:val="left"/>
      </w:pPr>
    </w:p>
    <w:p w14:paraId="18DC3F40" w14:textId="77777777" w:rsidR="003E3FD6" w:rsidRDefault="003E3FD6">
      <w:pPr>
        <w:spacing w:before="0" w:after="200" w:line="276" w:lineRule="auto"/>
        <w:jc w:val="left"/>
      </w:pPr>
    </w:p>
    <w:p w14:paraId="639C73FF" w14:textId="634464A5" w:rsidR="003E3FD6" w:rsidRDefault="003E3FD6">
      <w:pPr>
        <w:spacing w:before="0" w:after="200" w:line="276" w:lineRule="auto"/>
        <w:jc w:val="left"/>
      </w:pPr>
    </w:p>
    <w:p w14:paraId="17BA531D" w14:textId="3F83A80E" w:rsidR="003E3FD6" w:rsidRDefault="003E3FD6">
      <w:pPr>
        <w:spacing w:before="0" w:after="200" w:line="276" w:lineRule="auto"/>
        <w:jc w:val="left"/>
      </w:pPr>
    </w:p>
    <w:p w14:paraId="14B2D61C" w14:textId="77777777" w:rsidR="003E3FD6" w:rsidRDefault="003E3FD6">
      <w:pPr>
        <w:spacing w:before="0" w:after="200" w:line="276" w:lineRule="auto"/>
        <w:jc w:val="left"/>
      </w:pPr>
    </w:p>
    <w:p w14:paraId="6807826F" w14:textId="77777777" w:rsidR="003E3FD6" w:rsidRDefault="003E3FD6">
      <w:pPr>
        <w:spacing w:before="0" w:after="200" w:line="276" w:lineRule="auto"/>
        <w:jc w:val="left"/>
      </w:pPr>
    </w:p>
    <w:p w14:paraId="11AD7A45" w14:textId="77777777" w:rsidR="003E3FD6" w:rsidRDefault="003E3FD6">
      <w:pPr>
        <w:spacing w:before="0" w:after="200" w:line="276" w:lineRule="auto"/>
        <w:jc w:val="left"/>
      </w:pPr>
    </w:p>
    <w:p w14:paraId="59DB56CE" w14:textId="77777777" w:rsidR="003E3FD6" w:rsidRDefault="003E3FD6">
      <w:pPr>
        <w:spacing w:before="0" w:after="200" w:line="276" w:lineRule="auto"/>
        <w:jc w:val="left"/>
      </w:pPr>
    </w:p>
    <w:p w14:paraId="1FEA1B8B" w14:textId="77777777" w:rsidR="003E3FD6" w:rsidRDefault="003E3FD6">
      <w:pPr>
        <w:spacing w:before="0" w:after="200" w:line="276" w:lineRule="auto"/>
        <w:jc w:val="left"/>
      </w:pPr>
    </w:p>
    <w:p w14:paraId="7D9518AE" w14:textId="77777777" w:rsidR="003E3FD6" w:rsidRDefault="003E3FD6">
      <w:pPr>
        <w:spacing w:before="0" w:after="200" w:line="276" w:lineRule="auto"/>
        <w:jc w:val="left"/>
      </w:pPr>
    </w:p>
    <w:p w14:paraId="6BF1E491" w14:textId="7D79E67A" w:rsidR="00FA30E4" w:rsidRPr="009968C2" w:rsidRDefault="00FA30E4">
      <w:pPr>
        <w:spacing w:before="0" w:after="200" w:line="276" w:lineRule="auto"/>
        <w:jc w:val="left"/>
        <w:rPr>
          <w:sz w:val="16"/>
          <w:szCs w:val="20"/>
        </w:rPr>
      </w:pPr>
      <w:r>
        <w:rPr>
          <w:sz w:val="16"/>
          <w:szCs w:val="20"/>
        </w:rPr>
        <w:t>ACT Private – only includes data from the Australian Capital Territory private sector.</w:t>
      </w:r>
    </w:p>
    <w:p w14:paraId="04751E42" w14:textId="74E39B1C" w:rsidR="007B4BFE" w:rsidRPr="00285B6A" w:rsidRDefault="00592E49" w:rsidP="007C5673">
      <w:pPr>
        <w:pStyle w:val="Heading1"/>
        <w:spacing w:before="240"/>
      </w:pPr>
      <w:r>
        <w:t xml:space="preserve">Information, </w:t>
      </w:r>
      <w:proofErr w:type="gramStart"/>
      <w:r>
        <w:t>media</w:t>
      </w:r>
      <w:proofErr w:type="gramEnd"/>
      <w:r>
        <w:t xml:space="preserve"> and telecommunications</w:t>
      </w:r>
      <w:bookmarkEnd w:id="40"/>
      <w:r w:rsidR="007B4BFE" w:rsidRPr="00285B6A">
        <w:t xml:space="preserve"> </w:t>
      </w:r>
    </w:p>
    <w:p w14:paraId="28BF2A03" w14:textId="06AA5189" w:rsidR="007B4BFE" w:rsidRPr="00376FAA" w:rsidRDefault="007B4BFE" w:rsidP="007C5673">
      <w:pPr>
        <w:pStyle w:val="SWASectionnumberingheading"/>
        <w:numPr>
          <w:ilvl w:val="0"/>
          <w:numId w:val="0"/>
        </w:numPr>
        <w:spacing w:before="240"/>
        <w:rPr>
          <w:sz w:val="20"/>
          <w:szCs w:val="20"/>
        </w:rPr>
      </w:pPr>
      <w:bookmarkStart w:id="41" w:name="_Toc153368261"/>
      <w:r w:rsidRPr="00376FAA">
        <w:rPr>
          <w:sz w:val="20"/>
          <w:szCs w:val="20"/>
        </w:rPr>
        <w:t xml:space="preserve">Standardised premium rates for </w:t>
      </w:r>
      <w:r w:rsidR="00047378" w:rsidRPr="00376FAA">
        <w:rPr>
          <w:sz w:val="20"/>
          <w:szCs w:val="20"/>
        </w:rPr>
        <w:t xml:space="preserve">Information, </w:t>
      </w:r>
      <w:proofErr w:type="gramStart"/>
      <w:r w:rsidR="00047378" w:rsidRPr="00376FAA">
        <w:rPr>
          <w:sz w:val="20"/>
          <w:szCs w:val="20"/>
        </w:rPr>
        <w:t>media</w:t>
      </w:r>
      <w:proofErr w:type="gramEnd"/>
      <w:r w:rsidR="00047378" w:rsidRPr="00376FAA">
        <w:rPr>
          <w:sz w:val="20"/>
          <w:szCs w:val="20"/>
        </w:rPr>
        <w:t xml:space="preserve"> and telecom</w:t>
      </w:r>
      <w:r w:rsidRPr="00376FAA">
        <w:rPr>
          <w:sz w:val="20"/>
          <w:szCs w:val="20"/>
        </w:rPr>
        <w:t>munication</w:t>
      </w:r>
      <w:r w:rsidR="00047378" w:rsidRPr="00376FAA">
        <w:rPr>
          <w:sz w:val="20"/>
          <w:szCs w:val="20"/>
        </w:rPr>
        <w:t>s</w:t>
      </w:r>
      <w:r w:rsidRPr="00376FAA">
        <w:rPr>
          <w:sz w:val="20"/>
          <w:szCs w:val="20"/>
        </w:rPr>
        <w:t xml:space="preserve"> by jurisdiction</w:t>
      </w:r>
      <w:r w:rsidR="003E3FD6">
        <w:rPr>
          <w:sz w:val="20"/>
          <w:szCs w:val="20"/>
        </w:rPr>
        <w:t xml:space="preserve"> (previously i</w:t>
      </w:r>
      <w:r w:rsidR="003E3FD6" w:rsidRPr="00376FAA">
        <w:rPr>
          <w:sz w:val="20"/>
          <w:szCs w:val="20"/>
        </w:rPr>
        <w:t>ndicator 14j</w:t>
      </w:r>
      <w:r w:rsidR="003E3FD6">
        <w:rPr>
          <w:sz w:val="20"/>
          <w:szCs w:val="20"/>
        </w:rPr>
        <w:t>)</w:t>
      </w:r>
      <w:bookmarkEnd w:id="41"/>
    </w:p>
    <w:bookmarkStart w:id="42" w:name="_Toc80289684"/>
    <w:p w14:paraId="55DE508E" w14:textId="468922F8" w:rsidR="00FA30E4" w:rsidRDefault="00FA30E4">
      <w:pPr>
        <w:spacing w:before="0" w:after="200" w:line="276" w:lineRule="auto"/>
        <w:jc w:val="left"/>
      </w:pPr>
      <w:r>
        <w:rPr>
          <w:noProof/>
        </w:rPr>
        <mc:AlternateContent>
          <mc:Choice Requires="wpg">
            <w:drawing>
              <wp:anchor distT="0" distB="0" distL="114300" distR="114300" simplePos="0" relativeHeight="251679744" behindDoc="0" locked="0" layoutInCell="1" allowOverlap="1" wp14:anchorId="3666561C" wp14:editId="4C6440DA">
                <wp:simplePos x="0" y="0"/>
                <wp:positionH relativeFrom="margin">
                  <wp:posOffset>21265</wp:posOffset>
                </wp:positionH>
                <wp:positionV relativeFrom="paragraph">
                  <wp:posOffset>115289</wp:posOffset>
                </wp:positionV>
                <wp:extent cx="6403918" cy="3127546"/>
                <wp:effectExtent l="0" t="0" r="0" b="0"/>
                <wp:wrapNone/>
                <wp:docPr id="84" name="Group 83">
                  <a:extLst xmlns:a="http://schemas.openxmlformats.org/drawingml/2006/main">
                    <a:ext uri="{FF2B5EF4-FFF2-40B4-BE49-F238E27FC236}">
                      <a16:creationId xmlns:a16="http://schemas.microsoft.com/office/drawing/2014/main" id="{F51F596F-D3EE-412C-8345-FC96FFE4FCFC}"/>
                    </a:ext>
                  </a:extLst>
                </wp:docPr>
                <wp:cNvGraphicFramePr/>
                <a:graphic xmlns:a="http://schemas.openxmlformats.org/drawingml/2006/main">
                  <a:graphicData uri="http://schemas.microsoft.com/office/word/2010/wordprocessingGroup">
                    <wpg:wgp>
                      <wpg:cNvGrpSpPr/>
                      <wpg:grpSpPr>
                        <a:xfrm>
                          <a:off x="0" y="0"/>
                          <a:ext cx="6403918" cy="3127546"/>
                          <a:chOff x="0" y="0"/>
                          <a:chExt cx="6364941" cy="2969689"/>
                        </a:xfrm>
                      </wpg:grpSpPr>
                      <wpg:graphicFrame>
                        <wpg:cNvPr id="1924414296" name="Chart 1924414296">
                          <a:extLst>
                            <a:ext uri="{FF2B5EF4-FFF2-40B4-BE49-F238E27FC236}">
                              <a16:creationId xmlns:a16="http://schemas.microsoft.com/office/drawing/2014/main" id="{5FE50B5C-F7D3-461B-84F0-5B7D89245874}"/>
                            </a:ext>
                          </a:extLst>
                        </wpg:cNvPr>
                        <wpg:cNvFrPr>
                          <a:graphicFrameLocks/>
                        </wpg:cNvFrPr>
                        <wpg:xfrm>
                          <a:off x="0" y="0"/>
                          <a:ext cx="6364941" cy="2969689"/>
                        </wpg:xfrm>
                        <a:graphic>
                          <a:graphicData uri="http://schemas.openxmlformats.org/drawingml/2006/chart">
                            <c:chart xmlns:c="http://schemas.openxmlformats.org/drawingml/2006/chart" xmlns:r="http://schemas.openxmlformats.org/officeDocument/2006/relationships" r:id="rId48"/>
                          </a:graphicData>
                        </a:graphic>
                      </wpg:graphicFrame>
                      <wps:wsp>
                        <wps:cNvPr id="1889803464" name="Rectangle 1889803464">
                          <a:extLst>
                            <a:ext uri="{FF2B5EF4-FFF2-40B4-BE49-F238E27FC236}">
                              <a16:creationId xmlns:a16="http://schemas.microsoft.com/office/drawing/2014/main" id="{7896D8DF-C121-4C51-A1B8-10EA3FD87047}"/>
                            </a:ext>
                          </a:extLst>
                        </wps:cNvPr>
                        <wps:cNvSpPr>
                          <a:spLocks noChangeArrowheads="1"/>
                        </wps:cNvSpPr>
                        <wps:spPr bwMode="auto">
                          <a:xfrm flipV="1">
                            <a:off x="1216669" y="2762606"/>
                            <a:ext cx="4415342" cy="191749"/>
                          </a:xfrm>
                          <a:prstGeom prst="rect">
                            <a:avLst/>
                          </a:prstGeom>
                          <a:solidFill>
                            <a:srgbClr val="FFFFFF"/>
                          </a:solidFill>
                          <a:ln w="9525">
                            <a:noFill/>
                            <a:miter lim="800000"/>
                            <a:headEnd/>
                            <a:tailEnd/>
                          </a:ln>
                        </wps:spPr>
                        <wps:bodyPr wrap="square"/>
                      </wps:wsp>
                    </wpg:wgp>
                  </a:graphicData>
                </a:graphic>
              </wp:anchor>
            </w:drawing>
          </mc:Choice>
          <mc:Fallback>
            <w:pict>
              <v:group w14:anchorId="44736ABF" id="Group 83" o:spid="_x0000_s1026" style="position:absolute;margin-left:1.65pt;margin-top:9.1pt;width:504.25pt;height:246.25pt;z-index:251679744;mso-position-horizontal-relative:margin" coordsize="63649,2969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">
                <v:shape id="Chart 1924414296" o:spid="_x0000_s1027" type="#_x0000_t75" style="position:absolute;width:63618;height:296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">
                  <v:imagedata r:id="rId49" o:title=""/>
                  <o:lock v:ext="edit" aspectratio="f"/>
                </v:shape>
                <v:rect id="Rectangle 1889803464" o:spid="_x0000_s1028" style="position:absolute;left:12166;top:27626;width:44154;height:191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" stroked="f"/>
                <w10:wrap anchorx="margin"/>
              </v:group>
            </w:pict>
          </mc:Fallback>
        </mc:AlternateContent>
      </w:r>
    </w:p>
    <w:p w14:paraId="44760F3A" w14:textId="77777777" w:rsidR="00FA30E4" w:rsidRDefault="00FA30E4">
      <w:pPr>
        <w:spacing w:before="0" w:after="200" w:line="276" w:lineRule="auto"/>
        <w:jc w:val="left"/>
      </w:pPr>
    </w:p>
    <w:p w14:paraId="79CA5D46" w14:textId="336F0E6C" w:rsidR="00FA30E4" w:rsidRDefault="00FA30E4">
      <w:pPr>
        <w:spacing w:before="0" w:after="200" w:line="276" w:lineRule="auto"/>
        <w:jc w:val="left"/>
      </w:pPr>
    </w:p>
    <w:p w14:paraId="57C4D23D" w14:textId="77777777" w:rsidR="00FA30E4" w:rsidRDefault="00FA30E4">
      <w:pPr>
        <w:spacing w:before="0" w:after="200" w:line="276" w:lineRule="auto"/>
        <w:jc w:val="left"/>
      </w:pPr>
    </w:p>
    <w:p w14:paraId="371EFA55" w14:textId="3EAA0D14" w:rsidR="00FA30E4" w:rsidRDefault="00FA30E4">
      <w:pPr>
        <w:spacing w:before="0" w:after="200" w:line="276" w:lineRule="auto"/>
        <w:jc w:val="left"/>
      </w:pPr>
    </w:p>
    <w:p w14:paraId="67BC8498" w14:textId="77777777" w:rsidR="00FA30E4" w:rsidRDefault="00FA30E4">
      <w:pPr>
        <w:spacing w:before="0" w:after="200" w:line="276" w:lineRule="auto"/>
        <w:jc w:val="left"/>
      </w:pPr>
    </w:p>
    <w:p w14:paraId="314AAC60" w14:textId="77777777" w:rsidR="00FA30E4" w:rsidRDefault="00FA30E4">
      <w:pPr>
        <w:spacing w:before="0" w:after="200" w:line="276" w:lineRule="auto"/>
        <w:jc w:val="left"/>
      </w:pPr>
    </w:p>
    <w:p w14:paraId="495D355E" w14:textId="77777777" w:rsidR="00FA30E4" w:rsidRDefault="00FA30E4">
      <w:pPr>
        <w:spacing w:before="0" w:after="200" w:line="276" w:lineRule="auto"/>
        <w:jc w:val="left"/>
      </w:pPr>
    </w:p>
    <w:p w14:paraId="4E871FF9" w14:textId="77777777" w:rsidR="00FA30E4" w:rsidRDefault="00FA30E4">
      <w:pPr>
        <w:spacing w:before="0" w:after="200" w:line="276" w:lineRule="auto"/>
        <w:jc w:val="left"/>
      </w:pPr>
    </w:p>
    <w:p w14:paraId="0AD17180" w14:textId="77777777" w:rsidR="00FA30E4" w:rsidRDefault="00FA30E4">
      <w:pPr>
        <w:spacing w:before="0" w:after="200" w:line="276" w:lineRule="auto"/>
        <w:jc w:val="left"/>
      </w:pPr>
    </w:p>
    <w:p w14:paraId="3D171302" w14:textId="77777777" w:rsidR="00FA30E4" w:rsidRDefault="00FA30E4">
      <w:pPr>
        <w:spacing w:before="0" w:after="200" w:line="276" w:lineRule="auto"/>
        <w:jc w:val="left"/>
      </w:pPr>
    </w:p>
    <w:p w14:paraId="1C916F0A" w14:textId="2CA75963" w:rsidR="002F51ED" w:rsidRDefault="00FA30E4">
      <w:pPr>
        <w:spacing w:before="0" w:after="200" w:line="276" w:lineRule="auto"/>
        <w:jc w:val="left"/>
        <w:rPr>
          <w:rFonts w:ascii="Arial Bold" w:eastAsiaTheme="majorEastAsia" w:hAnsi="Arial Bold" w:cs="Arial"/>
          <w:b/>
          <w:kern w:val="32"/>
          <w:sz w:val="28"/>
          <w:szCs w:val="22"/>
        </w:rPr>
      </w:pPr>
      <w:r>
        <w:rPr>
          <w:sz w:val="16"/>
          <w:szCs w:val="20"/>
        </w:rPr>
        <w:t>ACT Private – only includes data from the Australian Capital Territory private sector.</w:t>
      </w:r>
      <w:r w:rsidR="002F51ED">
        <w:br w:type="page"/>
      </w:r>
    </w:p>
    <w:p w14:paraId="59A728D6" w14:textId="2BBE7FB3" w:rsidR="007B4BFE" w:rsidRPr="00285B6A" w:rsidRDefault="007B4BFE" w:rsidP="007C5673">
      <w:pPr>
        <w:pStyle w:val="Heading1"/>
        <w:spacing w:before="240"/>
      </w:pPr>
      <w:r w:rsidRPr="00285B6A">
        <w:t>Financ</w:t>
      </w:r>
      <w:r w:rsidR="00254859">
        <w:t>ial</w:t>
      </w:r>
      <w:r w:rsidRPr="00285B6A">
        <w:t xml:space="preserve"> and insurance </w:t>
      </w:r>
      <w:r w:rsidR="00592E49">
        <w:t>services</w:t>
      </w:r>
      <w:bookmarkEnd w:id="42"/>
      <w:r w:rsidR="00E2320E">
        <w:t xml:space="preserve"> </w:t>
      </w:r>
    </w:p>
    <w:p w14:paraId="28F1E3FE" w14:textId="10A2D1BA" w:rsidR="007B4BFE" w:rsidRPr="00DD4C12" w:rsidRDefault="007B4BFE" w:rsidP="007C5673">
      <w:pPr>
        <w:pStyle w:val="SWASectionnumberingheading"/>
        <w:numPr>
          <w:ilvl w:val="0"/>
          <w:numId w:val="0"/>
        </w:numPr>
        <w:spacing w:before="240"/>
        <w:rPr>
          <w:sz w:val="20"/>
          <w:szCs w:val="20"/>
        </w:rPr>
      </w:pPr>
      <w:bookmarkStart w:id="43" w:name="_Toc153368262"/>
      <w:r w:rsidRPr="00DD4C12">
        <w:rPr>
          <w:sz w:val="20"/>
          <w:szCs w:val="20"/>
        </w:rPr>
        <w:t>Standardised premium rates for Financ</w:t>
      </w:r>
      <w:r w:rsidR="00254859" w:rsidRPr="00DD4C12">
        <w:rPr>
          <w:sz w:val="20"/>
          <w:szCs w:val="20"/>
        </w:rPr>
        <w:t>ial</w:t>
      </w:r>
      <w:r w:rsidRPr="00DD4C12">
        <w:rPr>
          <w:sz w:val="20"/>
          <w:szCs w:val="20"/>
        </w:rPr>
        <w:t xml:space="preserve"> and insurance </w:t>
      </w:r>
      <w:r w:rsidR="00047378" w:rsidRPr="00DD4C12">
        <w:rPr>
          <w:sz w:val="20"/>
          <w:szCs w:val="20"/>
        </w:rPr>
        <w:t xml:space="preserve">services </w:t>
      </w:r>
      <w:r w:rsidRPr="00DD4C12">
        <w:rPr>
          <w:sz w:val="20"/>
          <w:szCs w:val="20"/>
        </w:rPr>
        <w:t>by jurisdiction</w:t>
      </w:r>
      <w:r w:rsidR="003E3FD6">
        <w:rPr>
          <w:sz w:val="20"/>
          <w:szCs w:val="20"/>
        </w:rPr>
        <w:t xml:space="preserve"> (previously i</w:t>
      </w:r>
      <w:r w:rsidR="003E3FD6" w:rsidRPr="00DD4C12">
        <w:rPr>
          <w:sz w:val="20"/>
          <w:szCs w:val="20"/>
        </w:rPr>
        <w:t>ndicator 14k</w:t>
      </w:r>
      <w:r w:rsidR="003E3FD6">
        <w:rPr>
          <w:sz w:val="20"/>
          <w:szCs w:val="20"/>
        </w:rPr>
        <w:t>)</w:t>
      </w:r>
      <w:bookmarkEnd w:id="43"/>
    </w:p>
    <w:bookmarkStart w:id="44" w:name="_Toc80289685"/>
    <w:p w14:paraId="3239D89A" w14:textId="7DA964B8" w:rsidR="003E3FD6" w:rsidRDefault="003E3FD6">
      <w:pPr>
        <w:spacing w:before="0" w:after="200" w:line="276" w:lineRule="auto"/>
        <w:jc w:val="left"/>
      </w:pPr>
      <w:r>
        <w:rPr>
          <w:noProof/>
        </w:rPr>
        <mc:AlternateContent>
          <mc:Choice Requires="wpg">
            <w:drawing>
              <wp:anchor distT="0" distB="0" distL="114300" distR="114300" simplePos="0" relativeHeight="251681792" behindDoc="0" locked="0" layoutInCell="1" allowOverlap="1" wp14:anchorId="2B72C59D" wp14:editId="5274947C">
                <wp:simplePos x="0" y="0"/>
                <wp:positionH relativeFrom="column">
                  <wp:posOffset>-57150</wp:posOffset>
                </wp:positionH>
                <wp:positionV relativeFrom="paragraph">
                  <wp:posOffset>7620</wp:posOffset>
                </wp:positionV>
                <wp:extent cx="6392712" cy="3137111"/>
                <wp:effectExtent l="0" t="0" r="8255" b="6350"/>
                <wp:wrapNone/>
                <wp:docPr id="85" name="Group 84">
                  <a:extLst xmlns:a="http://schemas.openxmlformats.org/drawingml/2006/main">
                    <a:ext uri="{FF2B5EF4-FFF2-40B4-BE49-F238E27FC236}">
                      <a16:creationId xmlns:a16="http://schemas.microsoft.com/office/drawing/2014/main" id="{94A2B68B-17F8-4665-91A6-270F3008967A}"/>
                    </a:ext>
                  </a:extLst>
                </wp:docPr>
                <wp:cNvGraphicFramePr/>
                <a:graphic xmlns:a="http://schemas.openxmlformats.org/drawingml/2006/main">
                  <a:graphicData uri="http://schemas.microsoft.com/office/word/2010/wordprocessingGroup">
                    <wpg:wgp>
                      <wpg:cNvGrpSpPr/>
                      <wpg:grpSpPr>
                        <a:xfrm>
                          <a:off x="0" y="0"/>
                          <a:ext cx="6392712" cy="3137111"/>
                          <a:chOff x="0" y="0"/>
                          <a:chExt cx="6353735" cy="2979254"/>
                        </a:xfrm>
                      </wpg:grpSpPr>
                      <wpg:graphicFrame>
                        <wpg:cNvPr id="1182648236" name="Chart 1182648236">
                          <a:extLst>
                            <a:ext uri="{FF2B5EF4-FFF2-40B4-BE49-F238E27FC236}">
                              <a16:creationId xmlns:a16="http://schemas.microsoft.com/office/drawing/2014/main" id="{8F7AB7B2-86CB-40C1-B795-46199748569F}"/>
                            </a:ext>
                          </a:extLst>
                        </wpg:cNvPr>
                        <wpg:cNvFrPr>
                          <a:graphicFrameLocks/>
                        </wpg:cNvFrPr>
                        <wpg:xfrm>
                          <a:off x="0" y="0"/>
                          <a:ext cx="6353735" cy="2979254"/>
                        </wpg:xfrm>
                        <a:graphic>
                          <a:graphicData uri="http://schemas.openxmlformats.org/drawingml/2006/chart">
                            <c:chart xmlns:c="http://schemas.openxmlformats.org/drawingml/2006/chart" xmlns:r="http://schemas.openxmlformats.org/officeDocument/2006/relationships" r:id="rId50"/>
                          </a:graphicData>
                        </a:graphic>
                      </wpg:graphicFrame>
                      <wps:wsp>
                        <wps:cNvPr id="1243439835" name="Rectangle 1243439835">
                          <a:extLst>
                            <a:ext uri="{FF2B5EF4-FFF2-40B4-BE49-F238E27FC236}">
                              <a16:creationId xmlns:a16="http://schemas.microsoft.com/office/drawing/2014/main" id="{C887D715-CF13-4C99-86C1-7F6CEA2DB2B8}"/>
                            </a:ext>
                          </a:extLst>
                        </wps:cNvPr>
                        <wps:cNvSpPr>
                          <a:spLocks noChangeArrowheads="1"/>
                        </wps:cNvSpPr>
                        <wps:spPr bwMode="auto">
                          <a:xfrm flipV="1">
                            <a:off x="1245232" y="2790232"/>
                            <a:ext cx="4413437" cy="160761"/>
                          </a:xfrm>
                          <a:prstGeom prst="rect">
                            <a:avLst/>
                          </a:prstGeom>
                          <a:solidFill>
                            <a:srgbClr val="FFFFFF"/>
                          </a:solidFill>
                          <a:ln w="9525">
                            <a:noFill/>
                            <a:miter lim="800000"/>
                            <a:headEnd/>
                            <a:tailEnd/>
                          </a:ln>
                        </wps:spPr>
                        <wps:bodyPr wrap="square"/>
                      </wps:wsp>
                    </wpg:wgp>
                  </a:graphicData>
                </a:graphic>
              </wp:anchor>
            </w:drawing>
          </mc:Choice>
          <mc:Fallback>
            <w:pict>
              <v:group w14:anchorId="43FFA363" id="Group 84" o:spid="_x0000_s1026" style="position:absolute;margin-left:-4.5pt;margin-top:.6pt;width:503.35pt;height:247pt;z-index:251681792" coordsize="63537,2979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">
                <v:shape id="Chart 1182648236" o:spid="_x0000_s1027" type="#_x0000_t75" style="position:absolute;width:63557;height:29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">
                  <v:imagedata r:id="rId51" o:title=""/>
                  <o:lock v:ext="edit" aspectratio="f"/>
                </v:shape>
                <v:rect id="Rectangle 1243439835" o:spid="_x0000_s1028" style="position:absolute;left:12452;top:27902;width:44134;height:160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" stroked="f"/>
              </v:group>
            </w:pict>
          </mc:Fallback>
        </mc:AlternateContent>
      </w:r>
    </w:p>
    <w:p w14:paraId="1546445B" w14:textId="4D848DBB" w:rsidR="003E3FD6" w:rsidRDefault="003E3FD6">
      <w:pPr>
        <w:spacing w:before="0" w:after="200" w:line="276" w:lineRule="auto"/>
        <w:jc w:val="left"/>
      </w:pPr>
    </w:p>
    <w:p w14:paraId="2B9409ED" w14:textId="386FB0D5" w:rsidR="003E3FD6" w:rsidRDefault="003E3FD6">
      <w:pPr>
        <w:spacing w:before="0" w:after="200" w:line="276" w:lineRule="auto"/>
        <w:jc w:val="left"/>
      </w:pPr>
    </w:p>
    <w:p w14:paraId="628D6190" w14:textId="77777777" w:rsidR="003E3FD6" w:rsidRDefault="003E3FD6">
      <w:pPr>
        <w:spacing w:before="0" w:after="200" w:line="276" w:lineRule="auto"/>
        <w:jc w:val="left"/>
      </w:pPr>
    </w:p>
    <w:p w14:paraId="0C053247" w14:textId="77777777" w:rsidR="003E3FD6" w:rsidRDefault="003E3FD6">
      <w:pPr>
        <w:spacing w:before="0" w:after="200" w:line="276" w:lineRule="auto"/>
        <w:jc w:val="left"/>
      </w:pPr>
    </w:p>
    <w:p w14:paraId="7BD098E0" w14:textId="77777777" w:rsidR="003E3FD6" w:rsidRDefault="003E3FD6">
      <w:pPr>
        <w:spacing w:before="0" w:after="200" w:line="276" w:lineRule="auto"/>
        <w:jc w:val="left"/>
      </w:pPr>
    </w:p>
    <w:p w14:paraId="02EC4C04" w14:textId="77777777" w:rsidR="003E3FD6" w:rsidRDefault="003E3FD6">
      <w:pPr>
        <w:spacing w:before="0" w:after="200" w:line="276" w:lineRule="auto"/>
        <w:jc w:val="left"/>
      </w:pPr>
    </w:p>
    <w:p w14:paraId="5E3E099F" w14:textId="6668F5CA" w:rsidR="003E3FD6" w:rsidRDefault="003E3FD6">
      <w:pPr>
        <w:spacing w:before="0" w:after="200" w:line="276" w:lineRule="auto"/>
        <w:jc w:val="left"/>
      </w:pPr>
    </w:p>
    <w:p w14:paraId="6EC06A1C" w14:textId="77777777" w:rsidR="003E3FD6" w:rsidRDefault="003E3FD6">
      <w:pPr>
        <w:spacing w:before="0" w:after="200" w:line="276" w:lineRule="auto"/>
        <w:jc w:val="left"/>
      </w:pPr>
    </w:p>
    <w:p w14:paraId="162A237D" w14:textId="2B110AA0" w:rsidR="003E3FD6" w:rsidRDefault="003E3FD6">
      <w:pPr>
        <w:spacing w:before="0" w:after="200" w:line="276" w:lineRule="auto"/>
        <w:jc w:val="left"/>
      </w:pPr>
    </w:p>
    <w:p w14:paraId="40F6DA55" w14:textId="77777777" w:rsidR="003E3FD6" w:rsidRDefault="003E3FD6">
      <w:pPr>
        <w:spacing w:before="0" w:after="200" w:line="276" w:lineRule="auto"/>
        <w:jc w:val="left"/>
      </w:pPr>
    </w:p>
    <w:p w14:paraId="2883551C" w14:textId="18DDBC9D" w:rsidR="003E3FD6" w:rsidRPr="009968C2" w:rsidRDefault="00FA30E4">
      <w:pPr>
        <w:spacing w:before="0" w:after="200" w:line="276" w:lineRule="auto"/>
        <w:jc w:val="left"/>
        <w:rPr>
          <w:sz w:val="16"/>
          <w:szCs w:val="20"/>
        </w:rPr>
      </w:pPr>
      <w:r>
        <w:rPr>
          <w:sz w:val="16"/>
          <w:szCs w:val="20"/>
        </w:rPr>
        <w:t>ACT Private – only includes data from the Australian Capital Territory private sector.</w:t>
      </w:r>
    </w:p>
    <w:p w14:paraId="22E8460C" w14:textId="125DA4AF" w:rsidR="007B4BFE" w:rsidRPr="00285B6A" w:rsidRDefault="00592E49" w:rsidP="007C5673">
      <w:pPr>
        <w:pStyle w:val="Heading1"/>
        <w:keepLines/>
        <w:spacing w:before="240"/>
      </w:pPr>
      <w:r>
        <w:t xml:space="preserve">Rental, hiring and real estate </w:t>
      </w:r>
      <w:proofErr w:type="gramStart"/>
      <w:r>
        <w:t>services</w:t>
      </w:r>
      <w:bookmarkEnd w:id="44"/>
      <w:proofErr w:type="gramEnd"/>
      <w:r w:rsidR="001472A2">
        <w:t xml:space="preserve"> </w:t>
      </w:r>
    </w:p>
    <w:p w14:paraId="6B81D4B1" w14:textId="3242EF8F" w:rsidR="007B4BFE" w:rsidRPr="00376FAA" w:rsidRDefault="007B4BFE" w:rsidP="007C5673">
      <w:pPr>
        <w:pStyle w:val="SWASectionnumberingheading"/>
        <w:numPr>
          <w:ilvl w:val="0"/>
          <w:numId w:val="0"/>
        </w:numPr>
        <w:spacing w:before="240"/>
        <w:rPr>
          <w:sz w:val="20"/>
          <w:szCs w:val="20"/>
        </w:rPr>
      </w:pPr>
      <w:bookmarkStart w:id="45" w:name="_Toc153368263"/>
      <w:r w:rsidRPr="00376FAA">
        <w:rPr>
          <w:sz w:val="20"/>
          <w:szCs w:val="20"/>
        </w:rPr>
        <w:t xml:space="preserve">Standardised premium rates for </w:t>
      </w:r>
      <w:r w:rsidR="001472A2" w:rsidRPr="00376FAA">
        <w:rPr>
          <w:sz w:val="20"/>
          <w:szCs w:val="20"/>
        </w:rPr>
        <w:t>Rental, hiring and real estate</w:t>
      </w:r>
      <w:r w:rsidRPr="00376FAA">
        <w:rPr>
          <w:sz w:val="20"/>
          <w:szCs w:val="20"/>
        </w:rPr>
        <w:t xml:space="preserve"> services by jurisdiction</w:t>
      </w:r>
      <w:r w:rsidR="003E3FD6">
        <w:rPr>
          <w:sz w:val="20"/>
          <w:szCs w:val="20"/>
        </w:rPr>
        <w:t xml:space="preserve"> (previously i</w:t>
      </w:r>
      <w:r w:rsidR="003E3FD6" w:rsidRPr="00376FAA">
        <w:rPr>
          <w:sz w:val="20"/>
          <w:szCs w:val="20"/>
        </w:rPr>
        <w:t>ndicator 14l</w:t>
      </w:r>
      <w:r w:rsidR="003E3FD6">
        <w:rPr>
          <w:sz w:val="20"/>
          <w:szCs w:val="20"/>
        </w:rPr>
        <w:t>)</w:t>
      </w:r>
      <w:bookmarkEnd w:id="45"/>
    </w:p>
    <w:bookmarkStart w:id="46" w:name="_Toc80289686"/>
    <w:bookmarkStart w:id="47" w:name="_Hlk80096705"/>
    <w:p w14:paraId="06B58B28" w14:textId="3F5E7062" w:rsidR="00FA30E4" w:rsidRDefault="00FA30E4">
      <w:pPr>
        <w:spacing w:before="0" w:after="200" w:line="276" w:lineRule="auto"/>
        <w:jc w:val="left"/>
      </w:pPr>
      <w:r>
        <w:rPr>
          <w:noProof/>
        </w:rPr>
        <mc:AlternateContent>
          <mc:Choice Requires="wpg">
            <w:drawing>
              <wp:anchor distT="0" distB="0" distL="114300" distR="114300" simplePos="0" relativeHeight="251683840" behindDoc="0" locked="0" layoutInCell="1" allowOverlap="1" wp14:anchorId="289AC923" wp14:editId="1B85EFE6">
                <wp:simplePos x="0" y="0"/>
                <wp:positionH relativeFrom="column">
                  <wp:posOffset>53163</wp:posOffset>
                </wp:positionH>
                <wp:positionV relativeFrom="paragraph">
                  <wp:posOffset>48688</wp:posOffset>
                </wp:positionV>
                <wp:extent cx="6381551" cy="3121640"/>
                <wp:effectExtent l="0" t="0" r="635" b="3175"/>
                <wp:wrapNone/>
                <wp:docPr id="86" name="Group 85">
                  <a:extLst xmlns:a="http://schemas.openxmlformats.org/drawingml/2006/main">
                    <a:ext uri="{FF2B5EF4-FFF2-40B4-BE49-F238E27FC236}">
                      <a16:creationId xmlns:a16="http://schemas.microsoft.com/office/drawing/2014/main" id="{BD86BCC6-5831-474D-ADEC-CE15AF66F53C}"/>
                    </a:ext>
                  </a:extLst>
                </wp:docPr>
                <wp:cNvGraphicFramePr/>
                <a:graphic xmlns:a="http://schemas.openxmlformats.org/drawingml/2006/main">
                  <a:graphicData uri="http://schemas.microsoft.com/office/word/2010/wordprocessingGroup">
                    <wpg:wgp>
                      <wpg:cNvGrpSpPr/>
                      <wpg:grpSpPr>
                        <a:xfrm>
                          <a:off x="0" y="0"/>
                          <a:ext cx="6381551" cy="3121640"/>
                          <a:chOff x="0" y="0"/>
                          <a:chExt cx="6342574" cy="2963783"/>
                        </a:xfrm>
                      </wpg:grpSpPr>
                      <wpg:graphicFrame>
                        <wpg:cNvPr id="1855641086" name="Chart 1855641086">
                          <a:extLst>
                            <a:ext uri="{FF2B5EF4-FFF2-40B4-BE49-F238E27FC236}">
                              <a16:creationId xmlns:a16="http://schemas.microsoft.com/office/drawing/2014/main" id="{C85CC576-FAF8-4BC6-BD7D-87CB13C3D756}"/>
                            </a:ext>
                          </a:extLst>
                        </wpg:cNvPr>
                        <wpg:cNvFrPr>
                          <a:graphicFrameLocks/>
                        </wpg:cNvFrPr>
                        <wpg:xfrm>
                          <a:off x="0" y="0"/>
                          <a:ext cx="6342574" cy="2963783"/>
                        </wpg:xfrm>
                        <a:graphic>
                          <a:graphicData uri="http://schemas.openxmlformats.org/drawingml/2006/chart">
                            <c:chart xmlns:c="http://schemas.openxmlformats.org/drawingml/2006/chart" xmlns:r="http://schemas.openxmlformats.org/officeDocument/2006/relationships" r:id="rId52"/>
                          </a:graphicData>
                        </a:graphic>
                      </wpg:graphicFrame>
                      <wps:wsp>
                        <wps:cNvPr id="121043736" name="Rectangle 121043736">
                          <a:extLst>
                            <a:ext uri="{FF2B5EF4-FFF2-40B4-BE49-F238E27FC236}">
                              <a16:creationId xmlns:a16="http://schemas.microsoft.com/office/drawing/2014/main" id="{BE80F730-34A3-448F-AC9C-351E78CC84B5}"/>
                            </a:ext>
                          </a:extLst>
                        </wps:cNvPr>
                        <wps:cNvSpPr>
                          <a:spLocks noChangeArrowheads="1"/>
                        </wps:cNvSpPr>
                        <wps:spPr bwMode="auto">
                          <a:xfrm flipV="1">
                            <a:off x="1297772" y="2779285"/>
                            <a:ext cx="4413437" cy="160762"/>
                          </a:xfrm>
                          <a:prstGeom prst="rect">
                            <a:avLst/>
                          </a:prstGeom>
                          <a:solidFill>
                            <a:srgbClr val="FFFFFF"/>
                          </a:solidFill>
                          <a:ln w="9525">
                            <a:noFill/>
                            <a:miter lim="800000"/>
                            <a:headEnd/>
                            <a:tailEnd/>
                          </a:ln>
                        </wps:spPr>
                        <wps:bodyPr wrap="square"/>
                      </wps:wsp>
                    </wpg:wgp>
                  </a:graphicData>
                </a:graphic>
              </wp:anchor>
            </w:drawing>
          </mc:Choice>
          <mc:Fallback>
            <w:pict>
              <v:group w14:anchorId="0FBF4FCD" id="Group 85" o:spid="_x0000_s1026" style="position:absolute;margin-left:4.2pt;margin-top:3.85pt;width:502.5pt;height:245.8pt;z-index:251683840" coordsize="63425,2963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">
                <v:shape id="Chart 1855641086" o:spid="_x0000_s1027" type="#_x0000_t75" style="position:absolute;width:63435;height:29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">
                  <v:imagedata r:id="rId53" o:title=""/>
                  <o:lock v:ext="edit" aspectratio="f"/>
                </v:shape>
                <v:rect id="Rectangle 121043736" o:spid="_x0000_s1028" style="position:absolute;left:12977;top:27792;width:44135;height:160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" stroked="f"/>
              </v:group>
            </w:pict>
          </mc:Fallback>
        </mc:AlternateContent>
      </w:r>
    </w:p>
    <w:p w14:paraId="5B93905E" w14:textId="77777777" w:rsidR="00FA30E4" w:rsidRDefault="00FA30E4">
      <w:pPr>
        <w:spacing w:before="0" w:after="200" w:line="276" w:lineRule="auto"/>
        <w:jc w:val="left"/>
      </w:pPr>
    </w:p>
    <w:p w14:paraId="5D59651D" w14:textId="77777777" w:rsidR="00FA30E4" w:rsidRDefault="00FA30E4">
      <w:pPr>
        <w:spacing w:before="0" w:after="200" w:line="276" w:lineRule="auto"/>
        <w:jc w:val="left"/>
      </w:pPr>
    </w:p>
    <w:p w14:paraId="26450BFE" w14:textId="77777777" w:rsidR="00FA30E4" w:rsidRDefault="00FA30E4">
      <w:pPr>
        <w:spacing w:before="0" w:after="200" w:line="276" w:lineRule="auto"/>
        <w:jc w:val="left"/>
      </w:pPr>
    </w:p>
    <w:p w14:paraId="64C8BA0D" w14:textId="77777777" w:rsidR="00FA30E4" w:rsidRDefault="00FA30E4">
      <w:pPr>
        <w:spacing w:before="0" w:after="200" w:line="276" w:lineRule="auto"/>
        <w:jc w:val="left"/>
      </w:pPr>
    </w:p>
    <w:p w14:paraId="3B464585" w14:textId="77777777" w:rsidR="00FA30E4" w:rsidRDefault="00FA30E4">
      <w:pPr>
        <w:spacing w:before="0" w:after="200" w:line="276" w:lineRule="auto"/>
        <w:jc w:val="left"/>
      </w:pPr>
    </w:p>
    <w:p w14:paraId="16DC51A4" w14:textId="2D1E3730" w:rsidR="00FA30E4" w:rsidRDefault="00FA30E4">
      <w:pPr>
        <w:spacing w:before="0" w:after="200" w:line="276" w:lineRule="auto"/>
        <w:jc w:val="left"/>
      </w:pPr>
    </w:p>
    <w:p w14:paraId="0BE4431A" w14:textId="77777777" w:rsidR="00FA30E4" w:rsidRDefault="00FA30E4">
      <w:pPr>
        <w:spacing w:before="0" w:after="200" w:line="276" w:lineRule="auto"/>
        <w:jc w:val="left"/>
      </w:pPr>
    </w:p>
    <w:p w14:paraId="3F2C285C" w14:textId="4B36F25B" w:rsidR="00FA30E4" w:rsidRDefault="00FA30E4">
      <w:pPr>
        <w:spacing w:before="0" w:after="200" w:line="276" w:lineRule="auto"/>
        <w:jc w:val="left"/>
      </w:pPr>
    </w:p>
    <w:p w14:paraId="285FA6CB" w14:textId="77777777" w:rsidR="00FA30E4" w:rsidRDefault="00FA30E4">
      <w:pPr>
        <w:spacing w:before="0" w:after="200" w:line="276" w:lineRule="auto"/>
        <w:jc w:val="left"/>
      </w:pPr>
    </w:p>
    <w:p w14:paraId="05F3B039" w14:textId="77777777" w:rsidR="00FA30E4" w:rsidRDefault="00FA30E4">
      <w:pPr>
        <w:spacing w:before="0" w:after="200" w:line="276" w:lineRule="auto"/>
        <w:jc w:val="left"/>
      </w:pPr>
    </w:p>
    <w:p w14:paraId="26B407C9" w14:textId="39A064BB" w:rsidR="002F51ED" w:rsidRPr="009968C2" w:rsidRDefault="00FA30E4">
      <w:pPr>
        <w:spacing w:before="0" w:after="200" w:line="276" w:lineRule="auto"/>
        <w:jc w:val="left"/>
        <w:rPr>
          <w:sz w:val="16"/>
          <w:szCs w:val="20"/>
        </w:rPr>
      </w:pPr>
      <w:r>
        <w:rPr>
          <w:sz w:val="16"/>
          <w:szCs w:val="20"/>
        </w:rPr>
        <w:t>ACT Private – only includes data from the Australian Capital Territory private sector.</w:t>
      </w:r>
      <w:r w:rsidR="002F51ED">
        <w:br w:type="page"/>
      </w:r>
    </w:p>
    <w:p w14:paraId="4D1EAD9B" w14:textId="2A2FAFD6" w:rsidR="007B4BFE" w:rsidRPr="00285B6A" w:rsidRDefault="00047378" w:rsidP="007C5673">
      <w:pPr>
        <w:pStyle w:val="Heading1"/>
        <w:spacing w:before="240"/>
      </w:pPr>
      <w:r>
        <w:t xml:space="preserve">Professional, </w:t>
      </w:r>
      <w:r w:rsidR="007E0179">
        <w:t>scientific,</w:t>
      </w:r>
      <w:r>
        <w:t xml:space="preserve"> and technical services</w:t>
      </w:r>
      <w:bookmarkEnd w:id="46"/>
      <w:r w:rsidR="007B4BFE" w:rsidRPr="00285B6A">
        <w:t xml:space="preserve"> </w:t>
      </w:r>
    </w:p>
    <w:p w14:paraId="7D11CFBC" w14:textId="3471E6EF" w:rsidR="007B4BFE" w:rsidRPr="00376FAA" w:rsidRDefault="007B4BFE" w:rsidP="007C5673">
      <w:pPr>
        <w:pStyle w:val="SWASectionnumberingheading"/>
        <w:numPr>
          <w:ilvl w:val="0"/>
          <w:numId w:val="0"/>
        </w:numPr>
        <w:spacing w:before="240"/>
        <w:rPr>
          <w:sz w:val="20"/>
          <w:szCs w:val="20"/>
        </w:rPr>
      </w:pPr>
      <w:bookmarkStart w:id="48" w:name="_Toc153368264"/>
      <w:bookmarkEnd w:id="47"/>
      <w:r w:rsidRPr="00376FAA">
        <w:rPr>
          <w:sz w:val="20"/>
          <w:szCs w:val="20"/>
        </w:rPr>
        <w:t xml:space="preserve">Standardised premium rates for </w:t>
      </w:r>
      <w:r w:rsidR="001F36F3" w:rsidRPr="00376FAA">
        <w:rPr>
          <w:sz w:val="20"/>
          <w:szCs w:val="20"/>
        </w:rPr>
        <w:t>P</w:t>
      </w:r>
      <w:r w:rsidR="00047378" w:rsidRPr="00376FAA">
        <w:rPr>
          <w:sz w:val="20"/>
          <w:szCs w:val="20"/>
        </w:rPr>
        <w:t xml:space="preserve">rofessional, </w:t>
      </w:r>
      <w:proofErr w:type="gramStart"/>
      <w:r w:rsidR="00E76FA3" w:rsidRPr="00376FAA">
        <w:rPr>
          <w:sz w:val="20"/>
          <w:szCs w:val="20"/>
        </w:rPr>
        <w:t>scientific</w:t>
      </w:r>
      <w:proofErr w:type="gramEnd"/>
      <w:r w:rsidR="00047378" w:rsidRPr="00376FAA">
        <w:rPr>
          <w:sz w:val="20"/>
          <w:szCs w:val="20"/>
        </w:rPr>
        <w:t xml:space="preserve"> and technical services</w:t>
      </w:r>
      <w:r w:rsidRPr="00376FAA">
        <w:rPr>
          <w:sz w:val="20"/>
          <w:szCs w:val="20"/>
        </w:rPr>
        <w:t xml:space="preserve"> by jurisdiction</w:t>
      </w:r>
      <w:r w:rsidR="003E3FD6">
        <w:rPr>
          <w:sz w:val="20"/>
          <w:szCs w:val="20"/>
        </w:rPr>
        <w:t xml:space="preserve"> (previously i</w:t>
      </w:r>
      <w:r w:rsidR="003E3FD6" w:rsidRPr="00376FAA">
        <w:rPr>
          <w:sz w:val="20"/>
          <w:szCs w:val="20"/>
        </w:rPr>
        <w:t>ndicator 14m</w:t>
      </w:r>
      <w:r w:rsidR="003E3FD6">
        <w:rPr>
          <w:sz w:val="20"/>
          <w:szCs w:val="20"/>
        </w:rPr>
        <w:t>)</w:t>
      </w:r>
      <w:bookmarkEnd w:id="48"/>
    </w:p>
    <w:bookmarkStart w:id="49" w:name="_Toc80289687"/>
    <w:p w14:paraId="1151BA32" w14:textId="3B5C497C" w:rsidR="003E3FD6" w:rsidRDefault="00903B6A">
      <w:pPr>
        <w:spacing w:before="0" w:after="200" w:line="276" w:lineRule="auto"/>
        <w:jc w:val="left"/>
      </w:pPr>
      <w:r>
        <w:rPr>
          <w:noProof/>
        </w:rPr>
        <mc:AlternateContent>
          <mc:Choice Requires="wps">
            <w:drawing>
              <wp:anchor distT="0" distB="0" distL="114300" distR="114300" simplePos="0" relativeHeight="251700224" behindDoc="0" locked="0" layoutInCell="1" allowOverlap="1" wp14:anchorId="6B6251ED" wp14:editId="057908BD">
                <wp:simplePos x="0" y="0"/>
                <wp:positionH relativeFrom="column">
                  <wp:posOffset>1297743</wp:posOffset>
                </wp:positionH>
                <wp:positionV relativeFrom="paragraph">
                  <wp:posOffset>2858135</wp:posOffset>
                </wp:positionV>
                <wp:extent cx="3857625" cy="161925"/>
                <wp:effectExtent l="0" t="0" r="28575" b="28575"/>
                <wp:wrapNone/>
                <wp:docPr id="1395321315" name="Rectangle 6"/>
                <wp:cNvGraphicFramePr/>
                <a:graphic xmlns:a="http://schemas.openxmlformats.org/drawingml/2006/main">
                  <a:graphicData uri="http://schemas.microsoft.com/office/word/2010/wordprocessingShape">
                    <wps:wsp>
                      <wps:cNvSpPr/>
                      <wps:spPr>
                        <a:xfrm>
                          <a:off x="0" y="0"/>
                          <a:ext cx="3857625" cy="1619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C8A40" id="Rectangle 6" o:spid="_x0000_s1026" style="position:absolute;margin-left:102.2pt;margin-top:225.05pt;width:303.75pt;height:12.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" fillcolor="white [3212]" strokecolor="white [3212]" strokeweight="2pt"/>
            </w:pict>
          </mc:Fallback>
        </mc:AlternateContent>
      </w:r>
      <w:r w:rsidR="005F541E">
        <w:rPr>
          <w:noProof/>
        </w:rPr>
        <w:drawing>
          <wp:inline distT="0" distB="0" distL="0" distR="0" wp14:anchorId="7D006C9A" wp14:editId="2935CB0F">
            <wp:extent cx="6019800" cy="2995449"/>
            <wp:effectExtent l="0" t="0" r="0" b="0"/>
            <wp:docPr id="580753727" name="Chart 1">
              <a:extLst xmlns:a="http://schemas.openxmlformats.org/drawingml/2006/main">
                <a:ext uri="{FF2B5EF4-FFF2-40B4-BE49-F238E27FC236}">
                  <a16:creationId xmlns:a16="http://schemas.microsoft.com/office/drawing/2014/main" id="{F5450BDC-9FDA-4344-AC48-8159629C0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5A67B3" w14:textId="77777777"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25A3033C" w14:textId="77777777" w:rsidR="003E3FD6" w:rsidRDefault="003E3FD6">
      <w:pPr>
        <w:spacing w:before="0" w:after="200" w:line="276" w:lineRule="auto"/>
        <w:jc w:val="left"/>
      </w:pPr>
    </w:p>
    <w:p w14:paraId="5F9F40EB" w14:textId="414C357E" w:rsidR="00E76026" w:rsidRDefault="003E3B20" w:rsidP="007C5673">
      <w:pPr>
        <w:pStyle w:val="Heading1"/>
        <w:spacing w:before="240"/>
      </w:pPr>
      <w:r>
        <w:t>Administrative and Support services</w:t>
      </w:r>
      <w:bookmarkEnd w:id="49"/>
    </w:p>
    <w:p w14:paraId="106C131F" w14:textId="3B811E8C" w:rsidR="003E3B20" w:rsidRPr="00376FAA" w:rsidRDefault="006D5FC9" w:rsidP="007C5673">
      <w:pPr>
        <w:pStyle w:val="SWASectionnumberingheading"/>
        <w:numPr>
          <w:ilvl w:val="0"/>
          <w:numId w:val="0"/>
        </w:numPr>
        <w:spacing w:before="240" w:after="0"/>
        <w:rPr>
          <w:sz w:val="20"/>
          <w:szCs w:val="20"/>
        </w:rPr>
      </w:pPr>
      <w:bookmarkStart w:id="50" w:name="_Toc153368265"/>
      <w:r w:rsidRPr="00376FAA">
        <w:rPr>
          <w:sz w:val="20"/>
          <w:szCs w:val="20"/>
        </w:rPr>
        <w:t>Standardised premium rates for Administrative and support services by jurisdiction</w:t>
      </w:r>
      <w:r w:rsidR="003E3FD6">
        <w:rPr>
          <w:sz w:val="20"/>
          <w:szCs w:val="20"/>
        </w:rPr>
        <w:t xml:space="preserve"> (previously i</w:t>
      </w:r>
      <w:r w:rsidR="003E3FD6" w:rsidRPr="00376FAA">
        <w:rPr>
          <w:sz w:val="20"/>
          <w:szCs w:val="20"/>
        </w:rPr>
        <w:t>ndicator 14n</w:t>
      </w:r>
      <w:r w:rsidR="003E3FD6">
        <w:rPr>
          <w:sz w:val="20"/>
          <w:szCs w:val="20"/>
        </w:rPr>
        <w:t>)</w:t>
      </w:r>
      <w:bookmarkEnd w:id="50"/>
    </w:p>
    <w:p w14:paraId="40DC767F" w14:textId="6119B795" w:rsidR="005F7828" w:rsidRDefault="005F7828" w:rsidP="007C5673">
      <w:pPr>
        <w:spacing w:before="0"/>
        <w:jc w:val="center"/>
      </w:pPr>
    </w:p>
    <w:bookmarkStart w:id="51" w:name="_Toc80289688"/>
    <w:bookmarkStart w:id="52" w:name="_Hlk80108466"/>
    <w:bookmarkStart w:id="53" w:name="_Hlk55396878"/>
    <w:p w14:paraId="0E37B6A6" w14:textId="4A0B2939" w:rsidR="00FA30E4" w:rsidRDefault="00FA30E4">
      <w:pPr>
        <w:spacing w:before="0" w:after="200" w:line="276" w:lineRule="auto"/>
        <w:jc w:val="left"/>
        <w:rPr>
          <w:bCs/>
          <w:szCs w:val="28"/>
        </w:rPr>
      </w:pPr>
      <w:r>
        <w:rPr>
          <w:noProof/>
        </w:rPr>
        <mc:AlternateContent>
          <mc:Choice Requires="wpg">
            <w:drawing>
              <wp:anchor distT="0" distB="0" distL="114300" distR="114300" simplePos="0" relativeHeight="251685888" behindDoc="0" locked="0" layoutInCell="1" allowOverlap="1" wp14:anchorId="0FF8A3F9" wp14:editId="29393F82">
                <wp:simplePos x="0" y="0"/>
                <wp:positionH relativeFrom="margin">
                  <wp:align>left</wp:align>
                </wp:positionH>
                <wp:positionV relativeFrom="paragraph">
                  <wp:posOffset>102486</wp:posOffset>
                </wp:positionV>
                <wp:extent cx="6352399" cy="3073728"/>
                <wp:effectExtent l="0" t="0" r="0" b="0"/>
                <wp:wrapNone/>
                <wp:docPr id="91" name="Group 90">
                  <a:extLst xmlns:a="http://schemas.openxmlformats.org/drawingml/2006/main">
                    <a:ext uri="{FF2B5EF4-FFF2-40B4-BE49-F238E27FC236}">
                      <a16:creationId xmlns:a16="http://schemas.microsoft.com/office/drawing/2014/main" id="{CD1D0823-7E49-4C20-960C-ECC9B883747C}"/>
                    </a:ext>
                  </a:extLst>
                </wp:docPr>
                <wp:cNvGraphicFramePr/>
                <a:graphic xmlns:a="http://schemas.openxmlformats.org/drawingml/2006/main">
                  <a:graphicData uri="http://schemas.microsoft.com/office/word/2010/wordprocessingGroup">
                    <wpg:wgp>
                      <wpg:cNvGrpSpPr/>
                      <wpg:grpSpPr>
                        <a:xfrm>
                          <a:off x="0" y="0"/>
                          <a:ext cx="6352399" cy="3073728"/>
                          <a:chOff x="0" y="0"/>
                          <a:chExt cx="6352399" cy="2921719"/>
                        </a:xfrm>
                      </wpg:grpSpPr>
                      <wpg:graphicFrame>
                        <wpg:cNvPr id="1310729872" name="Chart 1310729872">
                          <a:extLst>
                            <a:ext uri="{FF2B5EF4-FFF2-40B4-BE49-F238E27FC236}">
                              <a16:creationId xmlns:a16="http://schemas.microsoft.com/office/drawing/2014/main" id="{AC26064B-FA00-49AA-8FA5-E72BC6478F5C}"/>
                            </a:ext>
                          </a:extLst>
                        </wpg:cNvPr>
                        <wpg:cNvFrPr>
                          <a:graphicFrameLocks/>
                        </wpg:cNvFrPr>
                        <wpg:xfrm>
                          <a:off x="0" y="0"/>
                          <a:ext cx="6352399" cy="2921719"/>
                        </wpg:xfrm>
                        <a:graphic>
                          <a:graphicData uri="http://schemas.openxmlformats.org/drawingml/2006/chart">
                            <c:chart xmlns:c="http://schemas.openxmlformats.org/drawingml/2006/chart" xmlns:r="http://schemas.openxmlformats.org/officeDocument/2006/relationships" r:id="rId55"/>
                          </a:graphicData>
                        </a:graphic>
                      </wpg:graphicFrame>
                      <wps:wsp>
                        <wps:cNvPr id="97130519" name="Rectangle 97130519">
                          <a:extLst>
                            <a:ext uri="{FF2B5EF4-FFF2-40B4-BE49-F238E27FC236}">
                              <a16:creationId xmlns:a16="http://schemas.microsoft.com/office/drawing/2014/main" id="{AE27416C-E243-4EA6-8247-3FACADE3DC6E}"/>
                            </a:ext>
                          </a:extLst>
                        </wps:cNvPr>
                        <wps:cNvSpPr>
                          <a:spLocks noChangeArrowheads="1"/>
                        </wps:cNvSpPr>
                        <wps:spPr bwMode="auto">
                          <a:xfrm flipV="1">
                            <a:off x="1276608" y="2747165"/>
                            <a:ext cx="4879773" cy="157859"/>
                          </a:xfrm>
                          <a:prstGeom prst="rect">
                            <a:avLst/>
                          </a:prstGeom>
                          <a:solidFill>
                            <a:srgbClr val="FFFFFF"/>
                          </a:solidFill>
                          <a:ln w="9525">
                            <a:noFill/>
                            <a:miter lim="800000"/>
                            <a:headEnd/>
                            <a:tailEnd/>
                          </a:ln>
                        </wps:spPr>
                        <wps:bodyPr wrap="square"/>
                      </wps:wsp>
                    </wpg:wgp>
                  </a:graphicData>
                </a:graphic>
                <wp14:sizeRelV relativeFrom="margin">
                  <wp14:pctHeight>0</wp14:pctHeight>
                </wp14:sizeRelV>
              </wp:anchor>
            </w:drawing>
          </mc:Choice>
          <mc:Fallback>
            <w:pict>
              <v:group w14:anchorId="0140BFF5" id="Group 90" o:spid="_x0000_s1026" style="position:absolute;margin-left:0;margin-top:8.05pt;width:500.2pt;height:242.05pt;z-index:251685888;mso-position-horizontal:left;mso-position-horizontal-relative:margin;mso-height-relative:margin" coordsize="63523,2921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">
                <v:shape id="Chart 1310729872" o:spid="_x0000_s1027" type="#_x0000_t75" style="position:absolute;width:63520;height:29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">
                  <v:imagedata r:id="rId56" o:title=""/>
                  <o:lock v:ext="edit" aspectratio="f"/>
                </v:shape>
                <v:rect id="Rectangle 97130519" o:spid="_x0000_s1028" style="position:absolute;left:12766;top:27471;width:48797;height:15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" stroked="f"/>
                <w10:wrap anchorx="margin"/>
              </v:group>
            </w:pict>
          </mc:Fallback>
        </mc:AlternateContent>
      </w:r>
    </w:p>
    <w:p w14:paraId="23BBB4EE" w14:textId="77777777" w:rsidR="00FA30E4" w:rsidRDefault="00FA30E4">
      <w:pPr>
        <w:spacing w:before="0" w:after="200" w:line="276" w:lineRule="auto"/>
        <w:jc w:val="left"/>
        <w:rPr>
          <w:bCs/>
          <w:szCs w:val="28"/>
        </w:rPr>
      </w:pPr>
    </w:p>
    <w:p w14:paraId="1A364A72" w14:textId="717543EE" w:rsidR="00FA30E4" w:rsidRDefault="00FA30E4">
      <w:pPr>
        <w:spacing w:before="0" w:after="200" w:line="276" w:lineRule="auto"/>
        <w:jc w:val="left"/>
        <w:rPr>
          <w:bCs/>
          <w:szCs w:val="28"/>
        </w:rPr>
      </w:pPr>
    </w:p>
    <w:p w14:paraId="4134B004" w14:textId="77777777" w:rsidR="00FA30E4" w:rsidRDefault="00FA30E4">
      <w:pPr>
        <w:spacing w:before="0" w:after="200" w:line="276" w:lineRule="auto"/>
        <w:jc w:val="left"/>
        <w:rPr>
          <w:bCs/>
          <w:szCs w:val="28"/>
        </w:rPr>
      </w:pPr>
    </w:p>
    <w:p w14:paraId="561BC8C3" w14:textId="77777777" w:rsidR="00FA30E4" w:rsidRDefault="00FA30E4">
      <w:pPr>
        <w:spacing w:before="0" w:after="200" w:line="276" w:lineRule="auto"/>
        <w:jc w:val="left"/>
        <w:rPr>
          <w:bCs/>
          <w:szCs w:val="28"/>
        </w:rPr>
      </w:pPr>
    </w:p>
    <w:p w14:paraId="1098DF9B" w14:textId="77777777" w:rsidR="00FA30E4" w:rsidRDefault="00FA30E4">
      <w:pPr>
        <w:spacing w:before="0" w:after="200" w:line="276" w:lineRule="auto"/>
        <w:jc w:val="left"/>
        <w:rPr>
          <w:bCs/>
          <w:szCs w:val="28"/>
        </w:rPr>
      </w:pPr>
    </w:p>
    <w:p w14:paraId="15D04C81" w14:textId="77777777" w:rsidR="00FA30E4" w:rsidRDefault="00FA30E4">
      <w:pPr>
        <w:spacing w:before="0" w:after="200" w:line="276" w:lineRule="auto"/>
        <w:jc w:val="left"/>
        <w:rPr>
          <w:bCs/>
          <w:szCs w:val="28"/>
        </w:rPr>
      </w:pPr>
    </w:p>
    <w:p w14:paraId="52D997AF" w14:textId="77777777" w:rsidR="00FA30E4" w:rsidRDefault="00FA30E4">
      <w:pPr>
        <w:spacing w:before="0" w:after="200" w:line="276" w:lineRule="auto"/>
        <w:jc w:val="left"/>
        <w:rPr>
          <w:bCs/>
          <w:szCs w:val="28"/>
        </w:rPr>
      </w:pPr>
    </w:p>
    <w:p w14:paraId="1F4AEBFE" w14:textId="0F095967" w:rsidR="00FA30E4" w:rsidRDefault="00FA30E4">
      <w:pPr>
        <w:spacing w:before="0" w:after="200" w:line="276" w:lineRule="auto"/>
        <w:jc w:val="left"/>
        <w:rPr>
          <w:bCs/>
          <w:szCs w:val="28"/>
        </w:rPr>
      </w:pPr>
    </w:p>
    <w:p w14:paraId="0E963C77" w14:textId="77777777" w:rsidR="00FA30E4" w:rsidRDefault="00FA30E4">
      <w:pPr>
        <w:spacing w:before="0" w:after="200" w:line="276" w:lineRule="auto"/>
        <w:jc w:val="left"/>
        <w:rPr>
          <w:bCs/>
          <w:szCs w:val="28"/>
        </w:rPr>
      </w:pPr>
    </w:p>
    <w:p w14:paraId="0BD73A36" w14:textId="77777777" w:rsidR="00FA30E4" w:rsidRDefault="00FA30E4">
      <w:pPr>
        <w:spacing w:before="0" w:after="200" w:line="276" w:lineRule="auto"/>
        <w:jc w:val="left"/>
        <w:rPr>
          <w:bCs/>
          <w:szCs w:val="28"/>
        </w:rPr>
      </w:pPr>
    </w:p>
    <w:p w14:paraId="7A27100F" w14:textId="027A6708" w:rsidR="00A06667" w:rsidRDefault="00FA30E4">
      <w:pPr>
        <w:spacing w:before="0" w:after="200" w:line="276" w:lineRule="auto"/>
        <w:jc w:val="left"/>
        <w:rPr>
          <w:rFonts w:ascii="Arial Bold" w:eastAsiaTheme="majorEastAsia" w:hAnsi="Arial Bold" w:cs="Arial"/>
          <w:b/>
          <w:bCs/>
          <w:kern w:val="32"/>
          <w:sz w:val="28"/>
          <w:szCs w:val="28"/>
        </w:rPr>
      </w:pPr>
      <w:r>
        <w:rPr>
          <w:sz w:val="16"/>
          <w:szCs w:val="20"/>
        </w:rPr>
        <w:t>ACT Private – only includes data from the Australian Capital Territory private sector.</w:t>
      </w:r>
      <w:r w:rsidR="00A06667">
        <w:rPr>
          <w:bCs/>
          <w:szCs w:val="28"/>
        </w:rPr>
        <w:br w:type="page"/>
      </w:r>
    </w:p>
    <w:p w14:paraId="503C16B1" w14:textId="71C43337" w:rsidR="005F58C5" w:rsidRDefault="00476E2C" w:rsidP="007C5673">
      <w:pPr>
        <w:pStyle w:val="Heading1"/>
        <w:spacing w:before="240" w:after="200"/>
        <w:rPr>
          <w:rFonts w:ascii="Arial" w:eastAsia="Times New Roman" w:hAnsi="Arial"/>
          <w:bCs/>
          <w:kern w:val="0"/>
          <w:szCs w:val="28"/>
        </w:rPr>
      </w:pPr>
      <w:bookmarkStart w:id="54" w:name="_Hlk88659040"/>
      <w:r w:rsidRPr="00C569D9">
        <w:rPr>
          <w:bCs/>
          <w:szCs w:val="28"/>
        </w:rPr>
        <w:t>Public administration and safety</w:t>
      </w:r>
      <w:bookmarkEnd w:id="51"/>
    </w:p>
    <w:p w14:paraId="7E3ABBD9" w14:textId="28CBD369" w:rsidR="00476E2C" w:rsidRPr="00376FAA" w:rsidRDefault="005F58C5" w:rsidP="007C5673">
      <w:pPr>
        <w:pStyle w:val="SWASectionnumberingheading"/>
        <w:numPr>
          <w:ilvl w:val="0"/>
          <w:numId w:val="0"/>
        </w:numPr>
        <w:spacing w:before="240" w:after="0"/>
        <w:rPr>
          <w:sz w:val="20"/>
          <w:szCs w:val="20"/>
        </w:rPr>
      </w:pPr>
      <w:bookmarkStart w:id="55" w:name="_Toc153368266"/>
      <w:bookmarkEnd w:id="52"/>
      <w:bookmarkEnd w:id="53"/>
      <w:bookmarkEnd w:id="54"/>
      <w:r w:rsidRPr="00376FAA">
        <w:rPr>
          <w:sz w:val="20"/>
          <w:szCs w:val="20"/>
        </w:rPr>
        <w:t xml:space="preserve">Standardised premium rates for </w:t>
      </w:r>
      <w:proofErr w:type="gramStart"/>
      <w:r w:rsidR="008A6296" w:rsidRPr="00376FAA">
        <w:rPr>
          <w:sz w:val="20"/>
          <w:szCs w:val="20"/>
        </w:rPr>
        <w:t>Public</w:t>
      </w:r>
      <w:proofErr w:type="gramEnd"/>
      <w:r w:rsidR="008A6296" w:rsidRPr="00376FAA">
        <w:rPr>
          <w:sz w:val="20"/>
          <w:szCs w:val="20"/>
        </w:rPr>
        <w:t xml:space="preserve"> administration and safety by jurisdiction</w:t>
      </w:r>
      <w:r w:rsidR="003E3FD6">
        <w:rPr>
          <w:sz w:val="20"/>
          <w:szCs w:val="20"/>
        </w:rPr>
        <w:t xml:space="preserve"> (previously i</w:t>
      </w:r>
      <w:r w:rsidR="003E3FD6" w:rsidRPr="00376FAA">
        <w:rPr>
          <w:sz w:val="20"/>
          <w:szCs w:val="20"/>
        </w:rPr>
        <w:t>ndicator 14o</w:t>
      </w:r>
      <w:r w:rsidR="003E3FD6">
        <w:rPr>
          <w:sz w:val="20"/>
          <w:szCs w:val="20"/>
        </w:rPr>
        <w:t>)</w:t>
      </w:r>
      <w:bookmarkEnd w:id="55"/>
    </w:p>
    <w:p w14:paraId="38703B3A" w14:textId="47A547B5" w:rsidR="00476E2C" w:rsidRDefault="00903B6A" w:rsidP="003A1252">
      <w:r>
        <w:rPr>
          <w:noProof/>
        </w:rPr>
        <mc:AlternateContent>
          <mc:Choice Requires="wps">
            <w:drawing>
              <wp:anchor distT="0" distB="0" distL="114300" distR="114300" simplePos="0" relativeHeight="251701248" behindDoc="0" locked="0" layoutInCell="1" allowOverlap="1" wp14:anchorId="6CB4210D" wp14:editId="1DB24AAE">
                <wp:simplePos x="0" y="0"/>
                <wp:positionH relativeFrom="column">
                  <wp:posOffset>1269845</wp:posOffset>
                </wp:positionH>
                <wp:positionV relativeFrom="paragraph">
                  <wp:posOffset>2921197</wp:posOffset>
                </wp:positionV>
                <wp:extent cx="3827721" cy="152696"/>
                <wp:effectExtent l="0" t="0" r="20955" b="19050"/>
                <wp:wrapNone/>
                <wp:docPr id="490597631" name="Rectangle 7"/>
                <wp:cNvGraphicFramePr/>
                <a:graphic xmlns:a="http://schemas.openxmlformats.org/drawingml/2006/main">
                  <a:graphicData uri="http://schemas.microsoft.com/office/word/2010/wordprocessingShape">
                    <wps:wsp>
                      <wps:cNvSpPr/>
                      <wps:spPr>
                        <a:xfrm>
                          <a:off x="0" y="0"/>
                          <a:ext cx="3827721" cy="15269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D00BA" id="Rectangle 7" o:spid="_x0000_s1026" style="position:absolute;margin-left:100pt;margin-top:230pt;width:301.4pt;height:1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" fillcolor="white [3212]" strokecolor="white [3212]" strokeweight="2pt"/>
            </w:pict>
          </mc:Fallback>
        </mc:AlternateContent>
      </w:r>
      <w:r w:rsidR="003A1252">
        <w:rPr>
          <w:noProof/>
        </w:rPr>
        <w:drawing>
          <wp:inline distT="0" distB="0" distL="0" distR="0" wp14:anchorId="3584EBB1" wp14:editId="1230995B">
            <wp:extent cx="6145530" cy="2948152"/>
            <wp:effectExtent l="0" t="0" r="7620" b="5080"/>
            <wp:docPr id="476793829" name="Chart 1">
              <a:extLst xmlns:a="http://schemas.openxmlformats.org/drawingml/2006/main">
                <a:ext uri="{FF2B5EF4-FFF2-40B4-BE49-F238E27FC236}">
                  <a16:creationId xmlns:a16="http://schemas.microsoft.com/office/drawing/2014/main" id="{2271C83D-ACCF-41D0-AE7D-2D94FA742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43D037C" w14:textId="77777777" w:rsidR="009968C2" w:rsidRDefault="009968C2" w:rsidP="009968C2">
      <w:pPr>
        <w:spacing w:before="0" w:line="276" w:lineRule="auto"/>
        <w:jc w:val="left"/>
        <w:rPr>
          <w:sz w:val="16"/>
          <w:szCs w:val="20"/>
        </w:rPr>
      </w:pPr>
      <w:bookmarkStart w:id="56" w:name="_Toc80289689"/>
    </w:p>
    <w:p w14:paraId="0FF9714A" w14:textId="65FADEAA" w:rsidR="00FA30E4"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3BC2D943" w14:textId="77777777" w:rsidR="00FA30E4" w:rsidRPr="00A45559" w:rsidRDefault="00FA30E4" w:rsidP="00FA30E4">
      <w:pPr>
        <w:spacing w:before="0" w:after="200" w:line="276" w:lineRule="auto"/>
        <w:jc w:val="left"/>
        <w:rPr>
          <w:sz w:val="16"/>
          <w:szCs w:val="20"/>
        </w:rPr>
      </w:pPr>
    </w:p>
    <w:p w14:paraId="7B8A5A46" w14:textId="5FEC6268" w:rsidR="007B4BFE" w:rsidRPr="00B21D97" w:rsidRDefault="007B4BFE" w:rsidP="007C5673">
      <w:pPr>
        <w:pStyle w:val="Heading1"/>
        <w:spacing w:before="240"/>
      </w:pPr>
      <w:r w:rsidRPr="00B21D97">
        <w:t>Education</w:t>
      </w:r>
      <w:r w:rsidR="00D703DE" w:rsidRPr="00B21D97">
        <w:t xml:space="preserve"> and training</w:t>
      </w:r>
      <w:bookmarkEnd w:id="56"/>
    </w:p>
    <w:bookmarkStart w:id="57" w:name="_Toc153368267"/>
    <w:p w14:paraId="55E9CA0F" w14:textId="08F52678" w:rsidR="007B4BFE" w:rsidRPr="00376FAA" w:rsidRDefault="001B3B59" w:rsidP="007C5673">
      <w:pPr>
        <w:pStyle w:val="SWASectionnumberingheading"/>
        <w:numPr>
          <w:ilvl w:val="0"/>
          <w:numId w:val="0"/>
        </w:numPr>
        <w:spacing w:before="240"/>
        <w:rPr>
          <w:sz w:val="20"/>
          <w:szCs w:val="20"/>
        </w:rPr>
      </w:pPr>
      <w:r>
        <w:rPr>
          <w:noProof/>
        </w:rPr>
        <mc:AlternateContent>
          <mc:Choice Requires="wpg">
            <w:drawing>
              <wp:anchor distT="0" distB="0" distL="114300" distR="114300" simplePos="0" relativeHeight="251687936" behindDoc="0" locked="0" layoutInCell="1" allowOverlap="1" wp14:anchorId="4B730086" wp14:editId="73677A2B">
                <wp:simplePos x="0" y="0"/>
                <wp:positionH relativeFrom="column">
                  <wp:posOffset>-12818</wp:posOffset>
                </wp:positionH>
                <wp:positionV relativeFrom="paragraph">
                  <wp:posOffset>298420</wp:posOffset>
                </wp:positionV>
                <wp:extent cx="6166884" cy="3097530"/>
                <wp:effectExtent l="0" t="0" r="5715" b="7620"/>
                <wp:wrapNone/>
                <wp:docPr id="89" name="Group 88">
                  <a:extLst xmlns:a="http://schemas.openxmlformats.org/drawingml/2006/main">
                    <a:ext uri="{FF2B5EF4-FFF2-40B4-BE49-F238E27FC236}">
                      <a16:creationId xmlns:a16="http://schemas.microsoft.com/office/drawing/2014/main" id="{F40B7489-1E71-4152-BBB7-91042D869CDC}"/>
                    </a:ext>
                  </a:extLst>
                </wp:docPr>
                <wp:cNvGraphicFramePr/>
                <a:graphic xmlns:a="http://schemas.openxmlformats.org/drawingml/2006/main">
                  <a:graphicData uri="http://schemas.microsoft.com/office/word/2010/wordprocessingGroup">
                    <wpg:wgp>
                      <wpg:cNvGrpSpPr/>
                      <wpg:grpSpPr>
                        <a:xfrm>
                          <a:off x="0" y="0"/>
                          <a:ext cx="6166884" cy="3097530"/>
                          <a:chOff x="0" y="0"/>
                          <a:chExt cx="6346495" cy="2939996"/>
                        </a:xfrm>
                      </wpg:grpSpPr>
                      <wpg:graphicFrame>
                        <wpg:cNvPr id="1790886673" name="Chart 1790886673">
                          <a:extLst>
                            <a:ext uri="{FF2B5EF4-FFF2-40B4-BE49-F238E27FC236}">
                              <a16:creationId xmlns:a16="http://schemas.microsoft.com/office/drawing/2014/main" id="{1B1BF0A8-A87D-4DD9-B528-B4EA2CEB5BD4}"/>
                            </a:ext>
                          </a:extLst>
                        </wpg:cNvPr>
                        <wpg:cNvFrPr>
                          <a:graphicFrameLocks/>
                        </wpg:cNvFrPr>
                        <wpg:xfrm>
                          <a:off x="0" y="0"/>
                          <a:ext cx="6346495" cy="2939996"/>
                        </wpg:xfrm>
                        <a:graphic>
                          <a:graphicData uri="http://schemas.openxmlformats.org/drawingml/2006/chart">
                            <c:chart xmlns:c="http://schemas.openxmlformats.org/drawingml/2006/chart" xmlns:r="http://schemas.openxmlformats.org/officeDocument/2006/relationships" r:id="rId58"/>
                          </a:graphicData>
                        </a:graphic>
                      </wpg:graphicFrame>
                      <wps:wsp>
                        <wps:cNvPr id="1924612671" name="Rectangle 1924612671">
                          <a:extLst>
                            <a:ext uri="{FF2B5EF4-FFF2-40B4-BE49-F238E27FC236}">
                              <a16:creationId xmlns:a16="http://schemas.microsoft.com/office/drawing/2014/main" id="{8B5FC261-2633-41F5-AD66-786311C31660}"/>
                            </a:ext>
                          </a:extLst>
                        </wps:cNvPr>
                        <wps:cNvSpPr>
                          <a:spLocks noChangeArrowheads="1"/>
                        </wps:cNvSpPr>
                        <wps:spPr bwMode="auto">
                          <a:xfrm flipV="1">
                            <a:off x="1321089" y="2765563"/>
                            <a:ext cx="4415342" cy="156881"/>
                          </a:xfrm>
                          <a:prstGeom prst="rect">
                            <a:avLst/>
                          </a:prstGeom>
                          <a:solidFill>
                            <a:srgbClr val="FFFFFF"/>
                          </a:solidFill>
                          <a:ln w="9525">
                            <a:noFill/>
                            <a:miter lim="800000"/>
                            <a:headEnd/>
                            <a:tailEnd/>
                          </a:ln>
                        </wps:spPr>
                        <wps:bodyPr wrap="square"/>
                      </wps:wsp>
                    </wpg:wgp>
                  </a:graphicData>
                </a:graphic>
                <wp14:sizeRelH relativeFrom="margin">
                  <wp14:pctWidth>0</wp14:pctWidth>
                </wp14:sizeRelH>
              </wp:anchor>
            </w:drawing>
          </mc:Choice>
          <mc:Fallback>
            <w:pict>
              <v:group w14:anchorId="39FA4F4E" id="Group 88" o:spid="_x0000_s1026" style="position:absolute;margin-left:-1pt;margin-top:23.5pt;width:485.6pt;height:243.9pt;z-index:251687936;mso-width-relative:margin" coordsize="63464,29399"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">
                <v:shape id="Chart 1790886673" o:spid="_x0000_s1027" type="#_x0000_t75" style="position:absolute;width:63488;height:29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">
                  <v:imagedata r:id="rId59" o:title=""/>
                  <o:lock v:ext="edit" aspectratio="f"/>
                </v:shape>
                <v:rect id="Rectangle 1924612671" o:spid="_x0000_s1028" style="position:absolute;left:13210;top:27655;width:44154;height:15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" stroked="f"/>
              </v:group>
            </w:pict>
          </mc:Fallback>
        </mc:AlternateContent>
      </w:r>
      <w:r w:rsidR="007B4BFE" w:rsidRPr="00376FAA">
        <w:rPr>
          <w:sz w:val="20"/>
          <w:szCs w:val="20"/>
        </w:rPr>
        <w:t xml:space="preserve">Standardised premium rates for Education </w:t>
      </w:r>
      <w:r w:rsidR="005F03C1" w:rsidRPr="00376FAA">
        <w:rPr>
          <w:sz w:val="20"/>
          <w:szCs w:val="20"/>
        </w:rPr>
        <w:t xml:space="preserve">and training </w:t>
      </w:r>
      <w:r w:rsidR="007B4BFE" w:rsidRPr="00376FAA">
        <w:rPr>
          <w:sz w:val="20"/>
          <w:szCs w:val="20"/>
        </w:rPr>
        <w:t>by jurisdiction</w:t>
      </w:r>
      <w:r>
        <w:rPr>
          <w:sz w:val="20"/>
          <w:szCs w:val="20"/>
        </w:rPr>
        <w:t xml:space="preserve"> (previously i</w:t>
      </w:r>
      <w:r w:rsidRPr="00376FAA">
        <w:rPr>
          <w:sz w:val="20"/>
          <w:szCs w:val="20"/>
        </w:rPr>
        <w:t>ndicator 14p</w:t>
      </w:r>
      <w:r>
        <w:rPr>
          <w:sz w:val="20"/>
          <w:szCs w:val="20"/>
        </w:rPr>
        <w:t>)</w:t>
      </w:r>
      <w:bookmarkEnd w:id="57"/>
    </w:p>
    <w:p w14:paraId="04F98B54" w14:textId="05412BC0" w:rsidR="007B4BFE" w:rsidRDefault="007B4BFE" w:rsidP="003A1252">
      <w:pPr>
        <w:spacing w:before="0"/>
        <w:rPr>
          <w:lang w:val="en-GB"/>
        </w:rPr>
      </w:pPr>
    </w:p>
    <w:p w14:paraId="636E9500" w14:textId="77777777" w:rsidR="00FA30E4" w:rsidRDefault="00FA30E4">
      <w:pPr>
        <w:spacing w:before="0" w:after="200" w:line="276" w:lineRule="auto"/>
        <w:jc w:val="left"/>
      </w:pPr>
      <w:bookmarkStart w:id="58" w:name="_Toc80289690"/>
    </w:p>
    <w:p w14:paraId="05D5778A" w14:textId="77777777" w:rsidR="00FA30E4" w:rsidRDefault="00FA30E4">
      <w:pPr>
        <w:spacing w:before="0" w:after="200" w:line="276" w:lineRule="auto"/>
        <w:jc w:val="left"/>
      </w:pPr>
    </w:p>
    <w:p w14:paraId="3F2489A3" w14:textId="77777777" w:rsidR="00FA30E4" w:rsidRDefault="00FA30E4">
      <w:pPr>
        <w:spacing w:before="0" w:after="200" w:line="276" w:lineRule="auto"/>
        <w:jc w:val="left"/>
      </w:pPr>
    </w:p>
    <w:p w14:paraId="495E6471" w14:textId="77777777" w:rsidR="00FA30E4" w:rsidRDefault="00FA30E4">
      <w:pPr>
        <w:spacing w:before="0" w:after="200" w:line="276" w:lineRule="auto"/>
        <w:jc w:val="left"/>
      </w:pPr>
    </w:p>
    <w:p w14:paraId="67CC339B" w14:textId="77777777" w:rsidR="00FA30E4" w:rsidRDefault="00FA30E4">
      <w:pPr>
        <w:spacing w:before="0" w:after="200" w:line="276" w:lineRule="auto"/>
        <w:jc w:val="left"/>
      </w:pPr>
    </w:p>
    <w:p w14:paraId="3F6584F1" w14:textId="77777777" w:rsidR="00FA30E4" w:rsidRDefault="00FA30E4">
      <w:pPr>
        <w:spacing w:before="0" w:after="200" w:line="276" w:lineRule="auto"/>
        <w:jc w:val="left"/>
      </w:pPr>
    </w:p>
    <w:p w14:paraId="0DF24017" w14:textId="77777777" w:rsidR="00FA30E4" w:rsidRDefault="00FA30E4">
      <w:pPr>
        <w:spacing w:before="0" w:after="200" w:line="276" w:lineRule="auto"/>
        <w:jc w:val="left"/>
      </w:pPr>
    </w:p>
    <w:p w14:paraId="7019D0D1" w14:textId="77777777" w:rsidR="00FA30E4" w:rsidRDefault="00FA30E4">
      <w:pPr>
        <w:spacing w:before="0" w:after="200" w:line="276" w:lineRule="auto"/>
        <w:jc w:val="left"/>
      </w:pPr>
    </w:p>
    <w:p w14:paraId="3FD622DC" w14:textId="77777777" w:rsidR="00FA30E4" w:rsidRDefault="00FA30E4">
      <w:pPr>
        <w:spacing w:before="0" w:after="200" w:line="276" w:lineRule="auto"/>
        <w:jc w:val="left"/>
      </w:pPr>
    </w:p>
    <w:p w14:paraId="3D5B027B" w14:textId="77777777" w:rsidR="00FA30E4" w:rsidRDefault="00FA30E4">
      <w:pPr>
        <w:spacing w:before="0" w:after="200" w:line="276" w:lineRule="auto"/>
        <w:jc w:val="left"/>
      </w:pPr>
    </w:p>
    <w:p w14:paraId="7E051D02" w14:textId="77777777" w:rsidR="009968C2" w:rsidRDefault="009968C2" w:rsidP="009968C2">
      <w:pPr>
        <w:spacing w:before="0" w:line="276" w:lineRule="auto"/>
        <w:jc w:val="left"/>
        <w:rPr>
          <w:sz w:val="16"/>
          <w:szCs w:val="20"/>
        </w:rPr>
      </w:pPr>
    </w:p>
    <w:p w14:paraId="5B590BD7" w14:textId="69B2737B"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3CFB5E45" w14:textId="266DCE45" w:rsidR="00285C88" w:rsidRDefault="00285C88">
      <w:pPr>
        <w:spacing w:before="0" w:after="200" w:line="276" w:lineRule="auto"/>
        <w:jc w:val="left"/>
        <w:rPr>
          <w:rFonts w:ascii="Arial Bold" w:eastAsiaTheme="majorEastAsia" w:hAnsi="Arial Bold" w:cs="Arial"/>
          <w:b/>
          <w:kern w:val="32"/>
          <w:sz w:val="28"/>
          <w:szCs w:val="22"/>
        </w:rPr>
      </w:pPr>
      <w:r>
        <w:br w:type="page"/>
      </w:r>
    </w:p>
    <w:p w14:paraId="7462BBE0" w14:textId="7ECE56B4" w:rsidR="007B4BFE" w:rsidRPr="00B21D97" w:rsidRDefault="007B4BFE" w:rsidP="007C5673">
      <w:pPr>
        <w:pStyle w:val="Heading1"/>
        <w:keepLines/>
        <w:spacing w:before="240"/>
      </w:pPr>
      <w:r w:rsidRPr="00B21D97">
        <w:t>Health</w:t>
      </w:r>
      <w:r w:rsidR="001004DA">
        <w:t xml:space="preserve"> </w:t>
      </w:r>
      <w:r w:rsidR="006E1D65" w:rsidRPr="00B21D97">
        <w:t>care</w:t>
      </w:r>
      <w:r w:rsidRPr="00B21D97">
        <w:t xml:space="preserve"> and </w:t>
      </w:r>
      <w:r w:rsidR="00AD0B69" w:rsidRPr="00B21D97">
        <w:t>social assistance</w:t>
      </w:r>
      <w:bookmarkEnd w:id="58"/>
      <w:r w:rsidRPr="00B21D97">
        <w:t xml:space="preserve"> </w:t>
      </w:r>
    </w:p>
    <w:bookmarkStart w:id="59" w:name="_Toc153368268"/>
    <w:p w14:paraId="1953A4F3" w14:textId="102D72F0" w:rsidR="007B4BFE" w:rsidRPr="00376FAA" w:rsidRDefault="001B3B59" w:rsidP="007C5673">
      <w:pPr>
        <w:pStyle w:val="SWASectionnumberingheading"/>
        <w:numPr>
          <w:ilvl w:val="0"/>
          <w:numId w:val="0"/>
        </w:numPr>
        <w:spacing w:before="240"/>
        <w:rPr>
          <w:sz w:val="20"/>
          <w:szCs w:val="20"/>
        </w:rPr>
      </w:pPr>
      <w:r>
        <w:rPr>
          <w:noProof/>
        </w:rPr>
        <mc:AlternateContent>
          <mc:Choice Requires="wpg">
            <w:drawing>
              <wp:anchor distT="0" distB="0" distL="114300" distR="114300" simplePos="0" relativeHeight="251689984" behindDoc="0" locked="0" layoutInCell="1" allowOverlap="1" wp14:anchorId="3ADE62CB" wp14:editId="0F0E8791">
                <wp:simplePos x="0" y="0"/>
                <wp:positionH relativeFrom="margin">
                  <wp:align>left</wp:align>
                </wp:positionH>
                <wp:positionV relativeFrom="paragraph">
                  <wp:posOffset>302349</wp:posOffset>
                </wp:positionV>
                <wp:extent cx="6113721" cy="3101340"/>
                <wp:effectExtent l="0" t="0" r="1905" b="3810"/>
                <wp:wrapNone/>
                <wp:docPr id="90" name="Group 89">
                  <a:extLst xmlns:a="http://schemas.openxmlformats.org/drawingml/2006/main">
                    <a:ext uri="{FF2B5EF4-FFF2-40B4-BE49-F238E27FC236}">
                      <a16:creationId xmlns:a16="http://schemas.microsoft.com/office/drawing/2014/main" id="{731E26DE-9414-4F73-9A8F-83D4FE2F2F15}"/>
                    </a:ext>
                  </a:extLst>
                </wp:docPr>
                <wp:cNvGraphicFramePr/>
                <a:graphic xmlns:a="http://schemas.openxmlformats.org/drawingml/2006/main">
                  <a:graphicData uri="http://schemas.microsoft.com/office/word/2010/wordprocessingGroup">
                    <wpg:wgp>
                      <wpg:cNvGrpSpPr/>
                      <wpg:grpSpPr>
                        <a:xfrm>
                          <a:off x="0" y="0"/>
                          <a:ext cx="6113721" cy="3101340"/>
                          <a:chOff x="0" y="0"/>
                          <a:chExt cx="6344127" cy="2952622"/>
                        </a:xfrm>
                      </wpg:grpSpPr>
                      <wpg:graphicFrame>
                        <wpg:cNvPr id="1970893220" name="Chart 1970893220">
                          <a:extLst>
                            <a:ext uri="{FF2B5EF4-FFF2-40B4-BE49-F238E27FC236}">
                              <a16:creationId xmlns:a16="http://schemas.microsoft.com/office/drawing/2014/main" id="{BF972D37-0232-420D-9638-C4335FEAF14E}"/>
                            </a:ext>
                          </a:extLst>
                        </wpg:cNvPr>
                        <wpg:cNvFrPr>
                          <a:graphicFrameLocks/>
                        </wpg:cNvFrPr>
                        <wpg:xfrm>
                          <a:off x="0" y="0"/>
                          <a:ext cx="6344127" cy="2952622"/>
                        </wpg:xfrm>
                        <a:graphic>
                          <a:graphicData uri="http://schemas.openxmlformats.org/drawingml/2006/chart">
                            <c:chart xmlns:c="http://schemas.openxmlformats.org/drawingml/2006/chart" xmlns:r="http://schemas.openxmlformats.org/officeDocument/2006/relationships" r:id="rId60"/>
                          </a:graphicData>
                        </a:graphic>
                      </wpg:graphicFrame>
                      <wps:wsp>
                        <wps:cNvPr id="463519665" name="Rectangle 463519665">
                          <a:extLst>
                            <a:ext uri="{FF2B5EF4-FFF2-40B4-BE49-F238E27FC236}">
                              <a16:creationId xmlns:a16="http://schemas.microsoft.com/office/drawing/2014/main" id="{A5E1238C-0764-4B34-B4D6-E3252074B1EE}"/>
                            </a:ext>
                          </a:extLst>
                        </wps:cNvPr>
                        <wps:cNvSpPr>
                          <a:spLocks noChangeArrowheads="1"/>
                        </wps:cNvSpPr>
                        <wps:spPr bwMode="auto">
                          <a:xfrm flipV="1">
                            <a:off x="1298021" y="2765913"/>
                            <a:ext cx="4417247" cy="156882"/>
                          </a:xfrm>
                          <a:prstGeom prst="rect">
                            <a:avLst/>
                          </a:prstGeom>
                          <a:solidFill>
                            <a:srgbClr val="FFFFFF"/>
                          </a:solidFill>
                          <a:ln w="9525">
                            <a:noFill/>
                            <a:miter lim="800000"/>
                            <a:headEnd/>
                            <a:tailEnd/>
                          </a:ln>
                        </wps:spPr>
                        <wps:bodyPr wrap="square"/>
                      </wps:wsp>
                    </wpg:wgp>
                  </a:graphicData>
                </a:graphic>
                <wp14:sizeRelH relativeFrom="margin">
                  <wp14:pctWidth>0</wp14:pctWidth>
                </wp14:sizeRelH>
              </wp:anchor>
            </w:drawing>
          </mc:Choice>
          <mc:Fallback>
            <w:pict>
              <v:group w14:anchorId="0CA1639D" id="Group 89" o:spid="_x0000_s1026" style="position:absolute;margin-left:0;margin-top:23.8pt;width:481.4pt;height:244.2pt;z-index:251689984;mso-position-horizontal:left;mso-position-horizontal-relative:margin;mso-width-relative:margin" coordsize="63441,2952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">
                <v:shape id="Chart 1970893220" o:spid="_x0000_s1027" type="#_x0000_t75" style="position:absolute;width:63447;height:29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">
                  <v:imagedata r:id="rId61" o:title=""/>
                  <o:lock v:ext="edit" aspectratio="f"/>
                </v:shape>
                <v:rect id="Rectangle 463519665" o:spid="_x0000_s1028" style="position:absolute;left:12980;top:27659;width:44172;height:156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" stroked="f"/>
                <w10:wrap anchorx="margin"/>
              </v:group>
            </w:pict>
          </mc:Fallback>
        </mc:AlternateContent>
      </w:r>
      <w:r w:rsidR="007B4BFE" w:rsidRPr="00376FAA">
        <w:rPr>
          <w:sz w:val="20"/>
          <w:szCs w:val="20"/>
        </w:rPr>
        <w:t xml:space="preserve">Standardised premium rates for </w:t>
      </w:r>
      <w:proofErr w:type="gramStart"/>
      <w:r w:rsidR="007B4BFE" w:rsidRPr="00376FAA">
        <w:rPr>
          <w:sz w:val="20"/>
          <w:szCs w:val="20"/>
        </w:rPr>
        <w:t>Health</w:t>
      </w:r>
      <w:r w:rsidR="006E1D65" w:rsidRPr="00376FAA">
        <w:rPr>
          <w:sz w:val="20"/>
          <w:szCs w:val="20"/>
        </w:rPr>
        <w:t>care</w:t>
      </w:r>
      <w:proofErr w:type="gramEnd"/>
      <w:r w:rsidR="007B4BFE" w:rsidRPr="00376FAA">
        <w:rPr>
          <w:sz w:val="20"/>
          <w:szCs w:val="20"/>
        </w:rPr>
        <w:t xml:space="preserve"> and </w:t>
      </w:r>
      <w:r w:rsidR="00AD0B69" w:rsidRPr="00376FAA">
        <w:rPr>
          <w:sz w:val="20"/>
          <w:szCs w:val="20"/>
        </w:rPr>
        <w:t>social assistance</w:t>
      </w:r>
      <w:r w:rsidR="007B4BFE" w:rsidRPr="00376FAA">
        <w:rPr>
          <w:sz w:val="20"/>
          <w:szCs w:val="20"/>
        </w:rPr>
        <w:t xml:space="preserve"> by jurisdiction</w:t>
      </w:r>
      <w:r>
        <w:rPr>
          <w:sz w:val="20"/>
          <w:szCs w:val="20"/>
        </w:rPr>
        <w:t xml:space="preserve"> (previously </w:t>
      </w:r>
      <w:r w:rsidRPr="00376FAA">
        <w:rPr>
          <w:sz w:val="20"/>
          <w:szCs w:val="20"/>
        </w:rPr>
        <w:t>Indicator 14q</w:t>
      </w:r>
      <w:r>
        <w:rPr>
          <w:sz w:val="20"/>
          <w:szCs w:val="20"/>
        </w:rPr>
        <w:t>)</w:t>
      </w:r>
      <w:bookmarkEnd w:id="59"/>
    </w:p>
    <w:p w14:paraId="5ABBDF27" w14:textId="4020319C" w:rsidR="001B3B59" w:rsidRDefault="001B3B59">
      <w:pPr>
        <w:spacing w:before="0" w:after="200" w:line="276" w:lineRule="auto"/>
        <w:jc w:val="left"/>
      </w:pPr>
      <w:bookmarkStart w:id="60" w:name="_Toc80289691"/>
    </w:p>
    <w:p w14:paraId="0D42D30B" w14:textId="77777777" w:rsidR="001B3B59" w:rsidRDefault="001B3B59">
      <w:pPr>
        <w:spacing w:before="0" w:after="200" w:line="276" w:lineRule="auto"/>
        <w:jc w:val="left"/>
      </w:pPr>
    </w:p>
    <w:p w14:paraId="3D9EAA0F" w14:textId="77777777" w:rsidR="001B3B59" w:rsidRDefault="001B3B59">
      <w:pPr>
        <w:spacing w:before="0" w:after="200" w:line="276" w:lineRule="auto"/>
        <w:jc w:val="left"/>
      </w:pPr>
    </w:p>
    <w:p w14:paraId="0898F4F9" w14:textId="77777777" w:rsidR="001B3B59" w:rsidRDefault="001B3B59">
      <w:pPr>
        <w:spacing w:before="0" w:after="200" w:line="276" w:lineRule="auto"/>
        <w:jc w:val="left"/>
      </w:pPr>
    </w:p>
    <w:p w14:paraId="201D981A" w14:textId="77777777" w:rsidR="001B3B59" w:rsidRDefault="001B3B59">
      <w:pPr>
        <w:spacing w:before="0" w:after="200" w:line="276" w:lineRule="auto"/>
        <w:jc w:val="left"/>
      </w:pPr>
    </w:p>
    <w:p w14:paraId="63D08AA4" w14:textId="3472B192" w:rsidR="001B3B59" w:rsidRDefault="001B3B59">
      <w:pPr>
        <w:spacing w:before="0" w:after="200" w:line="276" w:lineRule="auto"/>
        <w:jc w:val="left"/>
      </w:pPr>
    </w:p>
    <w:p w14:paraId="516D82F0" w14:textId="77777777" w:rsidR="001B3B59" w:rsidRDefault="001B3B59">
      <w:pPr>
        <w:spacing w:before="0" w:after="200" w:line="276" w:lineRule="auto"/>
        <w:jc w:val="left"/>
      </w:pPr>
    </w:p>
    <w:p w14:paraId="01CD5152" w14:textId="77777777" w:rsidR="001B3B59" w:rsidRDefault="001B3B59">
      <w:pPr>
        <w:spacing w:before="0" w:after="200" w:line="276" w:lineRule="auto"/>
        <w:jc w:val="left"/>
      </w:pPr>
    </w:p>
    <w:p w14:paraId="175B7D23" w14:textId="77777777" w:rsidR="001B3B59" w:rsidRDefault="001B3B59">
      <w:pPr>
        <w:spacing w:before="0" w:after="200" w:line="276" w:lineRule="auto"/>
        <w:jc w:val="left"/>
      </w:pPr>
    </w:p>
    <w:p w14:paraId="42ED7295" w14:textId="020407A6" w:rsidR="001B3B59" w:rsidRDefault="001B3B59">
      <w:pPr>
        <w:spacing w:before="0" w:after="200" w:line="276" w:lineRule="auto"/>
        <w:jc w:val="left"/>
      </w:pPr>
    </w:p>
    <w:p w14:paraId="147416F9" w14:textId="4EE7F4EC" w:rsidR="001B3B59" w:rsidRPr="009968C2" w:rsidRDefault="00FA30E4">
      <w:pPr>
        <w:spacing w:before="0" w:after="200" w:line="276" w:lineRule="auto"/>
        <w:jc w:val="left"/>
        <w:rPr>
          <w:sz w:val="16"/>
          <w:szCs w:val="20"/>
        </w:rPr>
      </w:pPr>
      <w:r>
        <w:rPr>
          <w:sz w:val="16"/>
          <w:szCs w:val="20"/>
        </w:rPr>
        <w:t>ACT Private – only includes data from the Australian Capital Territory private sector.</w:t>
      </w:r>
    </w:p>
    <w:p w14:paraId="14ACF0F5" w14:textId="77777777" w:rsidR="001B3B59" w:rsidRDefault="001B3B59">
      <w:pPr>
        <w:spacing w:before="0" w:after="200" w:line="276" w:lineRule="auto"/>
        <w:jc w:val="left"/>
      </w:pPr>
    </w:p>
    <w:p w14:paraId="487323BB" w14:textId="71F09AFF" w:rsidR="007B4BFE" w:rsidRPr="00285B6A" w:rsidRDefault="00974847" w:rsidP="007C5673">
      <w:pPr>
        <w:pStyle w:val="Heading1"/>
        <w:spacing w:before="240"/>
      </w:pPr>
      <w:r>
        <w:t>Arts</w:t>
      </w:r>
      <w:r w:rsidRPr="00285B6A">
        <w:t xml:space="preserve"> </w:t>
      </w:r>
      <w:r w:rsidR="007B4BFE" w:rsidRPr="00285B6A">
        <w:t>and recreation services</w:t>
      </w:r>
      <w:bookmarkEnd w:id="60"/>
      <w:r w:rsidR="007B4BFE" w:rsidRPr="00285B6A">
        <w:t xml:space="preserve"> </w:t>
      </w:r>
    </w:p>
    <w:p w14:paraId="635C9BD0" w14:textId="7812010B" w:rsidR="000E1AC8" w:rsidRDefault="007B4BFE" w:rsidP="000E1AC8">
      <w:pPr>
        <w:pStyle w:val="SWASectionnumberingheading"/>
        <w:numPr>
          <w:ilvl w:val="0"/>
          <w:numId w:val="0"/>
        </w:numPr>
        <w:spacing w:before="240"/>
        <w:rPr>
          <w:sz w:val="20"/>
          <w:szCs w:val="20"/>
        </w:rPr>
      </w:pPr>
      <w:bookmarkStart w:id="61" w:name="_Toc153368269"/>
      <w:r w:rsidRPr="00376FAA">
        <w:rPr>
          <w:sz w:val="20"/>
          <w:szCs w:val="20"/>
        </w:rPr>
        <w:t xml:space="preserve">Standardised premium rates for </w:t>
      </w:r>
      <w:r w:rsidR="00974847" w:rsidRPr="00376FAA">
        <w:rPr>
          <w:sz w:val="20"/>
          <w:szCs w:val="20"/>
        </w:rPr>
        <w:t xml:space="preserve">Arts </w:t>
      </w:r>
      <w:r w:rsidRPr="00376FAA">
        <w:rPr>
          <w:sz w:val="20"/>
          <w:szCs w:val="20"/>
        </w:rPr>
        <w:t>and recreation services by jurisdiction</w:t>
      </w:r>
      <w:r w:rsidR="001B3B59">
        <w:rPr>
          <w:sz w:val="20"/>
          <w:szCs w:val="20"/>
        </w:rPr>
        <w:t xml:space="preserve"> (previously </w:t>
      </w:r>
      <w:r w:rsidR="001B3B59" w:rsidRPr="00376FAA">
        <w:rPr>
          <w:sz w:val="20"/>
          <w:szCs w:val="20"/>
        </w:rPr>
        <w:t>Indicator</w:t>
      </w:r>
      <w:r w:rsidR="001B3B59">
        <w:rPr>
          <w:sz w:val="20"/>
          <w:szCs w:val="20"/>
        </w:rPr>
        <w:t> </w:t>
      </w:r>
      <w:r w:rsidR="001B3B59" w:rsidRPr="00376FAA">
        <w:rPr>
          <w:sz w:val="20"/>
          <w:szCs w:val="20"/>
        </w:rPr>
        <w:t>14r</w:t>
      </w:r>
      <w:r w:rsidR="001B3B59">
        <w:rPr>
          <w:sz w:val="20"/>
          <w:szCs w:val="20"/>
        </w:rPr>
        <w:t>)</w:t>
      </w:r>
      <w:bookmarkEnd w:id="61"/>
    </w:p>
    <w:bookmarkStart w:id="62" w:name="_Toc80289692"/>
    <w:p w14:paraId="2B3ACF19" w14:textId="69B0289A" w:rsidR="00FA30E4" w:rsidRDefault="00FA30E4" w:rsidP="003A1252">
      <w:pPr>
        <w:spacing w:before="0" w:after="200" w:line="276" w:lineRule="auto"/>
      </w:pPr>
      <w:r>
        <w:rPr>
          <w:noProof/>
        </w:rPr>
        <mc:AlternateContent>
          <mc:Choice Requires="wpg">
            <w:drawing>
              <wp:anchor distT="0" distB="0" distL="114300" distR="114300" simplePos="0" relativeHeight="251692032" behindDoc="0" locked="0" layoutInCell="1" allowOverlap="1" wp14:anchorId="1660214D" wp14:editId="261279E8">
                <wp:simplePos x="0" y="0"/>
                <wp:positionH relativeFrom="margin">
                  <wp:align>left</wp:align>
                </wp:positionH>
                <wp:positionV relativeFrom="paragraph">
                  <wp:posOffset>9865</wp:posOffset>
                </wp:positionV>
                <wp:extent cx="6145619" cy="3100010"/>
                <wp:effectExtent l="0" t="0" r="7620" b="5715"/>
                <wp:wrapNone/>
                <wp:docPr id="92" name="Group 91">
                  <a:extLst xmlns:a="http://schemas.openxmlformats.org/drawingml/2006/main">
                    <a:ext uri="{FF2B5EF4-FFF2-40B4-BE49-F238E27FC236}">
                      <a16:creationId xmlns:a16="http://schemas.microsoft.com/office/drawing/2014/main" id="{03D25CD1-B88B-418D-8FD7-8F44D4A3386F}"/>
                    </a:ext>
                  </a:extLst>
                </wp:docPr>
                <wp:cNvGraphicFramePr/>
                <a:graphic xmlns:a="http://schemas.openxmlformats.org/drawingml/2006/main">
                  <a:graphicData uri="http://schemas.microsoft.com/office/word/2010/wordprocessingGroup">
                    <wpg:wgp>
                      <wpg:cNvGrpSpPr/>
                      <wpg:grpSpPr>
                        <a:xfrm>
                          <a:off x="0" y="0"/>
                          <a:ext cx="6145619" cy="3100010"/>
                          <a:chOff x="0" y="0"/>
                          <a:chExt cx="6335206" cy="2949949"/>
                        </a:xfrm>
                      </wpg:grpSpPr>
                      <wpg:graphicFrame>
                        <wpg:cNvPr id="1591013025" name="Chart 1591013025">
                          <a:extLst>
                            <a:ext uri="{FF2B5EF4-FFF2-40B4-BE49-F238E27FC236}">
                              <a16:creationId xmlns:a16="http://schemas.microsoft.com/office/drawing/2014/main" id="{6D128275-8FDA-484C-AE23-C64A3B0BB7AE}"/>
                            </a:ext>
                          </a:extLst>
                        </wpg:cNvPr>
                        <wpg:cNvFrPr>
                          <a:graphicFrameLocks/>
                        </wpg:cNvFrPr>
                        <wpg:xfrm>
                          <a:off x="0" y="0"/>
                          <a:ext cx="6335206" cy="2949949"/>
                        </wpg:xfrm>
                        <a:graphic>
                          <a:graphicData uri="http://schemas.openxmlformats.org/drawingml/2006/chart">
                            <c:chart xmlns:c="http://schemas.openxmlformats.org/drawingml/2006/chart" xmlns:r="http://schemas.openxmlformats.org/officeDocument/2006/relationships" r:id="rId62"/>
                          </a:graphicData>
                        </a:graphic>
                      </wpg:graphicFrame>
                      <wps:wsp>
                        <wps:cNvPr id="896937560" name="Rectangle 896937560">
                          <a:extLst>
                            <a:ext uri="{FF2B5EF4-FFF2-40B4-BE49-F238E27FC236}">
                              <a16:creationId xmlns:a16="http://schemas.microsoft.com/office/drawing/2014/main" id="{326FA934-2B75-454C-92AF-FCD8ED496F70}"/>
                            </a:ext>
                          </a:extLst>
                        </wps:cNvPr>
                        <wps:cNvSpPr>
                          <a:spLocks noChangeArrowheads="1"/>
                        </wps:cNvSpPr>
                        <wps:spPr bwMode="auto">
                          <a:xfrm flipV="1">
                            <a:off x="1290278" y="2772256"/>
                            <a:ext cx="4413437" cy="156882"/>
                          </a:xfrm>
                          <a:prstGeom prst="rect">
                            <a:avLst/>
                          </a:prstGeom>
                          <a:solidFill>
                            <a:srgbClr val="FFFFFF"/>
                          </a:solidFill>
                          <a:ln w="9525">
                            <a:noFill/>
                            <a:miter lim="800000"/>
                            <a:headEnd/>
                            <a:tailEnd/>
                          </a:ln>
                        </wps:spPr>
                        <wps:bodyPr wrap="square"/>
                      </wps:wsp>
                    </wpg:wgp>
                  </a:graphicData>
                </a:graphic>
                <wp14:sizeRelH relativeFrom="margin">
                  <wp14:pctWidth>0</wp14:pctWidth>
                </wp14:sizeRelH>
              </wp:anchor>
            </w:drawing>
          </mc:Choice>
          <mc:Fallback>
            <w:pict>
              <v:group w14:anchorId="70BEE4D1" id="Group 91" o:spid="_x0000_s1026" style="position:absolute;margin-left:0;margin-top:.8pt;width:483.9pt;height:244.1pt;z-index:251692032;mso-position-horizontal:left;mso-position-horizontal-relative:margin;mso-width-relative:margin" coordsize="63352,29499"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">
                <v:shape id="Chart 1591013025" o:spid="_x0000_s1027" type="#_x0000_t75" style="position:absolute;width:63343;height:29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">
                  <v:imagedata r:id="rId63" o:title=""/>
                  <o:lock v:ext="edit" aspectratio="f"/>
                </v:shape>
                <v:rect id="Rectangle 896937560" o:spid="_x0000_s1028" style="position:absolute;left:12902;top:27722;width:44135;height:15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" stroked="f"/>
                <w10:wrap anchorx="margin"/>
              </v:group>
            </w:pict>
          </mc:Fallback>
        </mc:AlternateContent>
      </w:r>
    </w:p>
    <w:p w14:paraId="301818D4" w14:textId="77777777" w:rsidR="00FA30E4" w:rsidRDefault="00FA30E4" w:rsidP="003A1252">
      <w:pPr>
        <w:spacing w:before="0" w:after="200" w:line="276" w:lineRule="auto"/>
      </w:pPr>
    </w:p>
    <w:p w14:paraId="0A01D4B5" w14:textId="77777777" w:rsidR="00FA30E4" w:rsidRDefault="00FA30E4" w:rsidP="003A1252">
      <w:pPr>
        <w:spacing w:before="0" w:after="200" w:line="276" w:lineRule="auto"/>
      </w:pPr>
    </w:p>
    <w:p w14:paraId="4157552D" w14:textId="77777777" w:rsidR="00FA30E4" w:rsidRDefault="00FA30E4" w:rsidP="003A1252">
      <w:pPr>
        <w:spacing w:before="0" w:after="200" w:line="276" w:lineRule="auto"/>
      </w:pPr>
    </w:p>
    <w:p w14:paraId="0D0C43FE" w14:textId="750D897F" w:rsidR="00FA30E4" w:rsidRDefault="00FA30E4" w:rsidP="003A1252">
      <w:pPr>
        <w:spacing w:before="0" w:after="200" w:line="276" w:lineRule="auto"/>
      </w:pPr>
    </w:p>
    <w:p w14:paraId="51980769" w14:textId="77777777" w:rsidR="00FA30E4" w:rsidRDefault="00FA30E4" w:rsidP="003A1252">
      <w:pPr>
        <w:spacing w:before="0" w:after="200" w:line="276" w:lineRule="auto"/>
      </w:pPr>
    </w:p>
    <w:p w14:paraId="16797F21" w14:textId="77777777" w:rsidR="00FA30E4" w:rsidRDefault="00FA30E4" w:rsidP="003A1252">
      <w:pPr>
        <w:spacing w:before="0" w:after="200" w:line="276" w:lineRule="auto"/>
      </w:pPr>
    </w:p>
    <w:p w14:paraId="66A5AC18" w14:textId="3B5B0638" w:rsidR="00FA30E4" w:rsidRDefault="00FA30E4" w:rsidP="003A1252">
      <w:pPr>
        <w:spacing w:before="0" w:after="200" w:line="276" w:lineRule="auto"/>
      </w:pPr>
    </w:p>
    <w:p w14:paraId="5FAA9EE4" w14:textId="77777777" w:rsidR="00FA30E4" w:rsidRDefault="00FA30E4" w:rsidP="003A1252">
      <w:pPr>
        <w:spacing w:before="0" w:after="200" w:line="276" w:lineRule="auto"/>
      </w:pPr>
    </w:p>
    <w:p w14:paraId="0BA92B5D" w14:textId="77777777" w:rsidR="00FA30E4" w:rsidRDefault="00FA30E4" w:rsidP="003A1252">
      <w:pPr>
        <w:spacing w:before="0" w:after="200" w:line="276" w:lineRule="auto"/>
      </w:pPr>
    </w:p>
    <w:p w14:paraId="2972D64E" w14:textId="77777777" w:rsidR="00FA30E4" w:rsidRDefault="00FA30E4" w:rsidP="003A1252">
      <w:pPr>
        <w:spacing w:before="0" w:after="200" w:line="276" w:lineRule="auto"/>
      </w:pPr>
    </w:p>
    <w:p w14:paraId="6E3A0445" w14:textId="77777777"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5C9DDD9B" w14:textId="2C252E6D" w:rsidR="00B0424A" w:rsidRDefault="00B0424A" w:rsidP="003A1252">
      <w:pPr>
        <w:spacing w:before="0" w:after="200" w:line="276" w:lineRule="auto"/>
        <w:rPr>
          <w:rFonts w:ascii="Arial Bold" w:eastAsiaTheme="majorEastAsia" w:hAnsi="Arial Bold" w:cs="Arial"/>
          <w:b/>
          <w:kern w:val="32"/>
          <w:sz w:val="28"/>
          <w:szCs w:val="22"/>
        </w:rPr>
      </w:pPr>
      <w:r>
        <w:br w:type="page"/>
      </w:r>
    </w:p>
    <w:p w14:paraId="1303E2BE" w14:textId="58DACAAB" w:rsidR="007B4BFE" w:rsidRPr="00285B6A" w:rsidRDefault="001A4A19" w:rsidP="007C5673">
      <w:pPr>
        <w:pStyle w:val="Heading1"/>
        <w:spacing w:before="240"/>
      </w:pPr>
      <w:r>
        <w:t>O</w:t>
      </w:r>
      <w:r w:rsidR="007B4BFE" w:rsidRPr="00285B6A">
        <w:t>ther services</w:t>
      </w:r>
      <w:bookmarkEnd w:id="62"/>
    </w:p>
    <w:bookmarkStart w:id="63" w:name="_Toc153368270"/>
    <w:p w14:paraId="2514EF7D" w14:textId="2D71167D" w:rsidR="007B4BFE" w:rsidRPr="00376FAA" w:rsidRDefault="001B3B59" w:rsidP="007C5673">
      <w:pPr>
        <w:pStyle w:val="SWASectionnumberingheading"/>
        <w:numPr>
          <w:ilvl w:val="0"/>
          <w:numId w:val="0"/>
        </w:numPr>
        <w:spacing w:before="240"/>
        <w:rPr>
          <w:sz w:val="20"/>
          <w:szCs w:val="20"/>
        </w:rPr>
      </w:pPr>
      <w:r>
        <w:rPr>
          <w:noProof/>
        </w:rPr>
        <mc:AlternateContent>
          <mc:Choice Requires="wpg">
            <w:drawing>
              <wp:anchor distT="0" distB="0" distL="114300" distR="114300" simplePos="0" relativeHeight="251694080" behindDoc="0" locked="0" layoutInCell="1" allowOverlap="1" wp14:anchorId="14DEC901" wp14:editId="66788FCD">
                <wp:simplePos x="0" y="0"/>
                <wp:positionH relativeFrom="margin">
                  <wp:align>left</wp:align>
                </wp:positionH>
                <wp:positionV relativeFrom="paragraph">
                  <wp:posOffset>302349</wp:posOffset>
                </wp:positionV>
                <wp:extent cx="6124354" cy="3109595"/>
                <wp:effectExtent l="0" t="0" r="0" b="0"/>
                <wp:wrapNone/>
                <wp:docPr id="93" name="Group 92">
                  <a:extLst xmlns:a="http://schemas.openxmlformats.org/drawingml/2006/main">
                    <a:ext uri="{FF2B5EF4-FFF2-40B4-BE49-F238E27FC236}">
                      <a16:creationId xmlns:a16="http://schemas.microsoft.com/office/drawing/2014/main" id="{331DA268-3A91-4FBE-BA78-FC5B23BE60D2}"/>
                    </a:ext>
                  </a:extLst>
                </wp:docPr>
                <wp:cNvGraphicFramePr/>
                <a:graphic xmlns:a="http://schemas.openxmlformats.org/drawingml/2006/main">
                  <a:graphicData uri="http://schemas.microsoft.com/office/word/2010/wordprocessingGroup">
                    <wpg:wgp>
                      <wpg:cNvGrpSpPr/>
                      <wpg:grpSpPr>
                        <a:xfrm>
                          <a:off x="0" y="0"/>
                          <a:ext cx="6124354" cy="3109595"/>
                          <a:chOff x="0" y="0"/>
                          <a:chExt cx="6354817" cy="2968761"/>
                        </a:xfrm>
                      </wpg:grpSpPr>
                      <wpg:graphicFrame>
                        <wpg:cNvPr id="1511018894" name="Chart 1511018894">
                          <a:extLst>
                            <a:ext uri="{FF2B5EF4-FFF2-40B4-BE49-F238E27FC236}">
                              <a16:creationId xmlns:a16="http://schemas.microsoft.com/office/drawing/2014/main" id="{3AC0B7BC-D437-4CC0-9A48-3FA7EAFC1197}"/>
                            </a:ext>
                          </a:extLst>
                        </wpg:cNvPr>
                        <wpg:cNvFrPr>
                          <a:graphicFrameLocks/>
                        </wpg:cNvFrPr>
                        <wpg:xfrm>
                          <a:off x="0" y="0"/>
                          <a:ext cx="6354817" cy="2968761"/>
                        </wpg:xfrm>
                        <a:graphic>
                          <a:graphicData uri="http://schemas.openxmlformats.org/drawingml/2006/chart">
                            <c:chart xmlns:c="http://schemas.openxmlformats.org/drawingml/2006/chart" xmlns:r="http://schemas.openxmlformats.org/officeDocument/2006/relationships" r:id="rId64"/>
                          </a:graphicData>
                        </a:graphic>
                      </wpg:graphicFrame>
                      <wps:wsp>
                        <wps:cNvPr id="557192946" name="Rectangle 557192946">
                          <a:extLst>
                            <a:ext uri="{FF2B5EF4-FFF2-40B4-BE49-F238E27FC236}">
                              <a16:creationId xmlns:a16="http://schemas.microsoft.com/office/drawing/2014/main" id="{05489698-E0DE-4386-A902-BE022975CD6D}"/>
                            </a:ext>
                          </a:extLst>
                        </wps:cNvPr>
                        <wps:cNvSpPr>
                          <a:spLocks noChangeArrowheads="1"/>
                        </wps:cNvSpPr>
                        <wps:spPr bwMode="auto">
                          <a:xfrm flipV="1">
                            <a:off x="1269904" y="2786879"/>
                            <a:ext cx="4413437" cy="156883"/>
                          </a:xfrm>
                          <a:prstGeom prst="rect">
                            <a:avLst/>
                          </a:prstGeom>
                          <a:solidFill>
                            <a:srgbClr val="FFFFFF"/>
                          </a:solidFill>
                          <a:ln w="9525">
                            <a:noFill/>
                            <a:miter lim="800000"/>
                            <a:headEnd/>
                            <a:tailEnd/>
                          </a:ln>
                        </wps:spPr>
                        <wps:bodyPr wrap="square"/>
                      </wps:wsp>
                    </wpg:wgp>
                  </a:graphicData>
                </a:graphic>
                <wp14:sizeRelH relativeFrom="margin">
                  <wp14:pctWidth>0</wp14:pctWidth>
                </wp14:sizeRelH>
              </wp:anchor>
            </w:drawing>
          </mc:Choice>
          <mc:Fallback>
            <w:pict>
              <v:group w14:anchorId="6415256B" id="Group 92" o:spid="_x0000_s1026" style="position:absolute;margin-left:0;margin-top:23.8pt;width:482.25pt;height:244.85pt;z-index:251694080;mso-position-horizontal:left;mso-position-horizontal-relative:margin;mso-width-relative:margin" coordsize="63548,2968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">
                <v:shape id="Chart 1511018894" o:spid="_x0000_s1027" type="#_x0000_t75" style="position:absolute;width:63570;height:296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">
                  <v:imagedata r:id="rId65" o:title=""/>
                  <o:lock v:ext="edit" aspectratio="f"/>
                </v:shape>
                <v:rect id="Rectangle 557192946" o:spid="_x0000_s1028" style="position:absolute;left:12699;top:27868;width:44134;height:156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" stroked="f"/>
                <w10:wrap anchorx="margin"/>
              </v:group>
            </w:pict>
          </mc:Fallback>
        </mc:AlternateContent>
      </w:r>
      <w:r w:rsidR="007B4BFE" w:rsidRPr="00376FAA">
        <w:rPr>
          <w:sz w:val="20"/>
          <w:szCs w:val="20"/>
        </w:rPr>
        <w:t xml:space="preserve">Standardised premium rates for </w:t>
      </w:r>
      <w:proofErr w:type="gramStart"/>
      <w:r w:rsidR="006A0C67" w:rsidRPr="00376FAA">
        <w:rPr>
          <w:sz w:val="20"/>
          <w:szCs w:val="20"/>
        </w:rPr>
        <w:t>O</w:t>
      </w:r>
      <w:r w:rsidR="007B4BFE" w:rsidRPr="00376FAA">
        <w:rPr>
          <w:sz w:val="20"/>
          <w:szCs w:val="20"/>
        </w:rPr>
        <w:t>ther</w:t>
      </w:r>
      <w:proofErr w:type="gramEnd"/>
      <w:r w:rsidR="007B4BFE" w:rsidRPr="00376FAA">
        <w:rPr>
          <w:sz w:val="20"/>
          <w:szCs w:val="20"/>
        </w:rPr>
        <w:t xml:space="preserve"> services by jurisdiction</w:t>
      </w:r>
      <w:r>
        <w:rPr>
          <w:sz w:val="20"/>
          <w:szCs w:val="20"/>
        </w:rPr>
        <w:t xml:space="preserve"> (previously i</w:t>
      </w:r>
      <w:r w:rsidRPr="00376FAA">
        <w:rPr>
          <w:sz w:val="20"/>
          <w:szCs w:val="20"/>
        </w:rPr>
        <w:t>ndicator 14s</w:t>
      </w:r>
      <w:r>
        <w:rPr>
          <w:sz w:val="20"/>
          <w:szCs w:val="20"/>
        </w:rPr>
        <w:t>)</w:t>
      </w:r>
      <w:bookmarkEnd w:id="63"/>
    </w:p>
    <w:p w14:paraId="21413B2E" w14:textId="77777777" w:rsidR="00FA30E4" w:rsidRDefault="00FA30E4" w:rsidP="003A1252">
      <w:pPr>
        <w:spacing w:before="0"/>
      </w:pPr>
    </w:p>
    <w:p w14:paraId="15321D97" w14:textId="77777777" w:rsidR="00FA30E4" w:rsidRDefault="00FA30E4" w:rsidP="003A1252">
      <w:pPr>
        <w:spacing w:before="0"/>
      </w:pPr>
    </w:p>
    <w:p w14:paraId="59769024" w14:textId="77777777" w:rsidR="00FA30E4" w:rsidRDefault="00FA30E4" w:rsidP="003A1252">
      <w:pPr>
        <w:spacing w:before="0"/>
      </w:pPr>
    </w:p>
    <w:p w14:paraId="2B9A06DF" w14:textId="77777777" w:rsidR="00FA30E4" w:rsidRDefault="00FA30E4" w:rsidP="003A1252">
      <w:pPr>
        <w:spacing w:before="0"/>
      </w:pPr>
    </w:p>
    <w:p w14:paraId="2F84A8C7" w14:textId="77777777" w:rsidR="00FA30E4" w:rsidRDefault="00FA30E4" w:rsidP="003A1252">
      <w:pPr>
        <w:spacing w:before="0"/>
      </w:pPr>
    </w:p>
    <w:p w14:paraId="221024C5" w14:textId="77777777" w:rsidR="00FA30E4" w:rsidRDefault="00FA30E4" w:rsidP="003A1252">
      <w:pPr>
        <w:spacing w:before="0"/>
      </w:pPr>
    </w:p>
    <w:p w14:paraId="2E9BDE38" w14:textId="77777777" w:rsidR="00FA30E4" w:rsidRDefault="00FA30E4" w:rsidP="003A1252">
      <w:pPr>
        <w:spacing w:before="0"/>
      </w:pPr>
    </w:p>
    <w:p w14:paraId="41DA7804" w14:textId="77777777" w:rsidR="00FA30E4" w:rsidRDefault="00FA30E4" w:rsidP="003A1252">
      <w:pPr>
        <w:spacing w:before="0"/>
      </w:pPr>
    </w:p>
    <w:p w14:paraId="671767B9" w14:textId="77777777" w:rsidR="00FA30E4" w:rsidRDefault="00FA30E4" w:rsidP="003A1252">
      <w:pPr>
        <w:spacing w:before="0"/>
      </w:pPr>
    </w:p>
    <w:p w14:paraId="1E058A5A" w14:textId="77777777" w:rsidR="00FA30E4" w:rsidRDefault="00FA30E4" w:rsidP="003A1252">
      <w:pPr>
        <w:spacing w:before="0"/>
      </w:pPr>
    </w:p>
    <w:p w14:paraId="5A3696C7" w14:textId="77777777" w:rsidR="00FA30E4" w:rsidRDefault="00FA30E4" w:rsidP="003A1252">
      <w:pPr>
        <w:spacing w:before="0"/>
      </w:pPr>
    </w:p>
    <w:p w14:paraId="13567EDF" w14:textId="77777777" w:rsidR="00FA30E4" w:rsidRDefault="00FA30E4" w:rsidP="003A1252">
      <w:pPr>
        <w:spacing w:before="0"/>
      </w:pPr>
    </w:p>
    <w:p w14:paraId="4900F792" w14:textId="77777777" w:rsidR="00FA30E4" w:rsidRDefault="00FA30E4" w:rsidP="003A1252">
      <w:pPr>
        <w:spacing w:before="0"/>
      </w:pPr>
    </w:p>
    <w:p w14:paraId="67D9A319" w14:textId="77777777" w:rsidR="00FA30E4" w:rsidRDefault="00FA30E4" w:rsidP="003A1252">
      <w:pPr>
        <w:spacing w:before="0"/>
      </w:pPr>
    </w:p>
    <w:p w14:paraId="682D3255" w14:textId="77777777" w:rsidR="00FA30E4" w:rsidRDefault="00FA30E4" w:rsidP="003A1252">
      <w:pPr>
        <w:spacing w:before="0"/>
      </w:pPr>
    </w:p>
    <w:p w14:paraId="0B347087" w14:textId="77777777" w:rsidR="00FA30E4" w:rsidRDefault="00FA30E4" w:rsidP="003A1252">
      <w:pPr>
        <w:spacing w:before="0"/>
      </w:pPr>
    </w:p>
    <w:p w14:paraId="34387FAA" w14:textId="77777777" w:rsidR="00FA30E4" w:rsidRDefault="00FA30E4" w:rsidP="003A1252">
      <w:pPr>
        <w:spacing w:before="0"/>
      </w:pPr>
    </w:p>
    <w:p w14:paraId="7EEDD0A5" w14:textId="77777777" w:rsidR="00FA30E4" w:rsidRDefault="00FA30E4" w:rsidP="003A1252">
      <w:pPr>
        <w:spacing w:before="0"/>
      </w:pPr>
    </w:p>
    <w:p w14:paraId="469BB3FF" w14:textId="77777777" w:rsidR="00FA30E4" w:rsidRDefault="00FA30E4" w:rsidP="003A1252">
      <w:pPr>
        <w:spacing w:before="0"/>
      </w:pPr>
    </w:p>
    <w:p w14:paraId="25491806" w14:textId="77777777" w:rsidR="00FA30E4" w:rsidRDefault="00FA30E4" w:rsidP="003A1252">
      <w:pPr>
        <w:spacing w:before="0"/>
      </w:pPr>
    </w:p>
    <w:p w14:paraId="08B8912E" w14:textId="77777777" w:rsidR="00FA30E4" w:rsidRDefault="00FA30E4" w:rsidP="003A1252">
      <w:pPr>
        <w:spacing w:before="0"/>
      </w:pPr>
    </w:p>
    <w:p w14:paraId="790C8A22" w14:textId="77777777" w:rsidR="00FA30E4" w:rsidRDefault="00FA30E4" w:rsidP="00FA30E4">
      <w:pPr>
        <w:spacing w:before="0" w:after="200" w:line="276" w:lineRule="auto"/>
        <w:jc w:val="left"/>
        <w:rPr>
          <w:sz w:val="16"/>
          <w:szCs w:val="20"/>
        </w:rPr>
      </w:pPr>
    </w:p>
    <w:p w14:paraId="5498A4B9" w14:textId="7D1DBDF0" w:rsidR="00FA30E4" w:rsidRPr="00A45559" w:rsidRDefault="00FA30E4" w:rsidP="00FA30E4">
      <w:pPr>
        <w:spacing w:before="0" w:after="200" w:line="276" w:lineRule="auto"/>
        <w:jc w:val="left"/>
        <w:rPr>
          <w:sz w:val="16"/>
          <w:szCs w:val="20"/>
        </w:rPr>
      </w:pPr>
      <w:r>
        <w:rPr>
          <w:sz w:val="16"/>
          <w:szCs w:val="20"/>
        </w:rPr>
        <w:t>ACT Private – only includes data from the Australian Capital Territory private sector.</w:t>
      </w:r>
    </w:p>
    <w:p w14:paraId="2F3465DB" w14:textId="151CB0D5" w:rsidR="0047156B" w:rsidRDefault="0047156B" w:rsidP="003A1252">
      <w:pPr>
        <w:spacing w:before="0"/>
        <w:rPr>
          <w:rFonts w:ascii="Arial Bold" w:eastAsiaTheme="majorEastAsia" w:hAnsi="Arial Bold" w:cstheme="majorBidi"/>
          <w:b/>
          <w:sz w:val="24"/>
          <w:szCs w:val="28"/>
        </w:rPr>
      </w:pPr>
      <w:r>
        <w:br w:type="page"/>
      </w:r>
    </w:p>
    <w:p w14:paraId="17ACF75D" w14:textId="64A860E6" w:rsidR="00CE00EC" w:rsidRDefault="00B747C9" w:rsidP="004345ED">
      <w:pPr>
        <w:pStyle w:val="SWASectionnumberingheading"/>
        <w:numPr>
          <w:ilvl w:val="0"/>
          <w:numId w:val="0"/>
        </w:numPr>
      </w:pPr>
      <w:bookmarkStart w:id="64" w:name="_Toc80289693"/>
      <w:bookmarkStart w:id="65" w:name="_Toc153368271"/>
      <w:bookmarkEnd w:id="14"/>
      <w:bookmarkEnd w:id="20"/>
      <w:r w:rsidRPr="00863BDF">
        <w:t>Appendix 1 — Explanatory notes</w:t>
      </w:r>
      <w:bookmarkEnd w:id="64"/>
      <w:r w:rsidRPr="00863BDF">
        <w:t xml:space="preserve"> </w:t>
      </w:r>
      <w:bookmarkStart w:id="66" w:name="_Toc476564198"/>
      <w:bookmarkStart w:id="67" w:name="_Toc80289694"/>
      <w:bookmarkStart w:id="68" w:name="_Toc149832636"/>
      <w:r w:rsidR="004345ED">
        <w:t>for p</w:t>
      </w:r>
      <w:r w:rsidR="00CE00EC">
        <w:t>remium rates and entitlements</w:t>
      </w:r>
      <w:bookmarkEnd w:id="66"/>
      <w:bookmarkEnd w:id="67"/>
      <w:bookmarkEnd w:id="68"/>
      <w:bookmarkEnd w:id="65"/>
    </w:p>
    <w:p w14:paraId="619A78B5" w14:textId="77777777" w:rsidR="00CE00EC" w:rsidRPr="004345ED" w:rsidRDefault="00CE00EC" w:rsidP="00CE00EC">
      <w:pPr>
        <w:rPr>
          <w:szCs w:val="20"/>
        </w:rPr>
      </w:pPr>
      <w:r w:rsidRPr="004345ED">
        <w:rPr>
          <w:szCs w:val="20"/>
        </w:rPr>
        <w:t>Issues affecting the comparability of premium rates across the schemes include:</w:t>
      </w:r>
    </w:p>
    <w:p w14:paraId="7E15B45B" w14:textId="77777777" w:rsidR="00CE00EC" w:rsidRPr="004345ED" w:rsidRDefault="00CE00EC" w:rsidP="009968C2">
      <w:pPr>
        <w:pStyle w:val="BodyJustified"/>
        <w:numPr>
          <w:ilvl w:val="0"/>
          <w:numId w:val="6"/>
        </w:numPr>
      </w:pPr>
      <w:r w:rsidRPr="004345ED">
        <w:t>differences in benefits and coverage for certain types of injuries, in particular the coverage of the journey to and from work</w:t>
      </w:r>
    </w:p>
    <w:p w14:paraId="21B509E3" w14:textId="77777777" w:rsidR="00CE00EC" w:rsidRPr="004345ED" w:rsidRDefault="00CE00EC" w:rsidP="009968C2">
      <w:pPr>
        <w:pStyle w:val="BodyJustified"/>
        <w:numPr>
          <w:ilvl w:val="0"/>
          <w:numId w:val="6"/>
        </w:numPr>
      </w:pPr>
      <w:r w:rsidRPr="004345ED">
        <w:t>differences in claims management arrangements</w:t>
      </w:r>
    </w:p>
    <w:p w14:paraId="394902A3" w14:textId="2E93CA68" w:rsidR="00CE00EC" w:rsidRPr="004345ED" w:rsidRDefault="00CE00EC" w:rsidP="009968C2">
      <w:pPr>
        <w:pStyle w:val="BodyJustified"/>
        <w:numPr>
          <w:ilvl w:val="0"/>
          <w:numId w:val="6"/>
        </w:numPr>
      </w:pPr>
      <w:r w:rsidRPr="004345ED">
        <w:t xml:space="preserve">variations in the funding arrangements for delivery of </w:t>
      </w:r>
      <w:r w:rsidR="00CA7A06" w:rsidRPr="004345ED">
        <w:t xml:space="preserve">WHS </w:t>
      </w:r>
      <w:r w:rsidRPr="004345ED">
        <w:t>services, with some jurisdictions providing degrees of cross-</w:t>
      </w:r>
      <w:proofErr w:type="spellStart"/>
      <w:proofErr w:type="gramStart"/>
      <w:r w:rsidRPr="004345ED">
        <w:t>subsidisation</w:t>
      </w:r>
      <w:proofErr w:type="spellEnd"/>
      <w:proofErr w:type="gramEnd"/>
    </w:p>
    <w:p w14:paraId="40F6F165" w14:textId="77777777" w:rsidR="00CE00EC" w:rsidRPr="004345ED" w:rsidRDefault="00CE00EC" w:rsidP="009968C2">
      <w:pPr>
        <w:pStyle w:val="BodyJustified"/>
        <w:numPr>
          <w:ilvl w:val="0"/>
          <w:numId w:val="6"/>
        </w:numPr>
      </w:pPr>
      <w:r w:rsidRPr="004345ED">
        <w:t xml:space="preserve">differences in the definitions of wages for premium setting purposes, including whether superannuation contribution is part of </w:t>
      </w:r>
      <w:proofErr w:type="gramStart"/>
      <w:r w:rsidRPr="004345ED">
        <w:t>wages</w:t>
      </w:r>
      <w:proofErr w:type="gramEnd"/>
    </w:p>
    <w:p w14:paraId="5C9782C9" w14:textId="77777777" w:rsidR="00CE00EC" w:rsidRPr="004345ED" w:rsidRDefault="00CE00EC" w:rsidP="009968C2">
      <w:pPr>
        <w:pStyle w:val="BodyJustified"/>
        <w:numPr>
          <w:ilvl w:val="0"/>
          <w:numId w:val="6"/>
        </w:numPr>
      </w:pPr>
      <w:r w:rsidRPr="004345ED">
        <w:t>different scheme excess deductibles (note that wage under-declaration has not been accounted for as it is considered to have a similar prevalence in each jurisdiction)</w:t>
      </w:r>
    </w:p>
    <w:p w14:paraId="3B8143B8" w14:textId="77777777" w:rsidR="00CE00EC" w:rsidRPr="004345ED" w:rsidRDefault="00CE00EC" w:rsidP="009968C2">
      <w:pPr>
        <w:pStyle w:val="BodyJustified"/>
        <w:numPr>
          <w:ilvl w:val="0"/>
          <w:numId w:val="6"/>
        </w:numPr>
      </w:pPr>
      <w:r w:rsidRPr="004345ED">
        <w:t>different levels of self-insurance</w:t>
      </w:r>
    </w:p>
    <w:p w14:paraId="690FB67E" w14:textId="77777777" w:rsidR="00CE00EC" w:rsidRPr="004345ED" w:rsidRDefault="00CE00EC" w:rsidP="009968C2">
      <w:pPr>
        <w:pStyle w:val="BodyJustified"/>
        <w:numPr>
          <w:ilvl w:val="0"/>
          <w:numId w:val="6"/>
        </w:numPr>
      </w:pPr>
      <w:r w:rsidRPr="004345ED">
        <w:t>different industry mixes</w:t>
      </w:r>
    </w:p>
    <w:p w14:paraId="1AD8F903" w14:textId="77777777" w:rsidR="00CE00EC" w:rsidRPr="004345ED" w:rsidRDefault="00CE00EC" w:rsidP="009968C2">
      <w:pPr>
        <w:pStyle w:val="BodyJustified"/>
        <w:numPr>
          <w:ilvl w:val="0"/>
          <w:numId w:val="6"/>
        </w:numPr>
      </w:pPr>
      <w:r w:rsidRPr="004345ED">
        <w:t>differences in premium calculation methodology, and</w:t>
      </w:r>
    </w:p>
    <w:p w14:paraId="10D59786" w14:textId="77777777" w:rsidR="00CE00EC" w:rsidRPr="004345ED" w:rsidRDefault="00CE00EC" w:rsidP="009968C2">
      <w:pPr>
        <w:pStyle w:val="BodyJustified"/>
        <w:numPr>
          <w:ilvl w:val="0"/>
          <w:numId w:val="6"/>
        </w:numPr>
      </w:pPr>
      <w:r w:rsidRPr="004345ED">
        <w:t>different actuarial assumptions used in the calculation of premium rates.</w:t>
      </w:r>
    </w:p>
    <w:p w14:paraId="6D22A254" w14:textId="528E084E" w:rsidR="00CE00EC" w:rsidRDefault="00CE00EC" w:rsidP="00F9415A">
      <w:pPr>
        <w:pStyle w:val="Heading2"/>
      </w:pPr>
      <w:bookmarkStart w:id="69" w:name="_Toc80289695"/>
      <w:r>
        <w:t>Premiums in the self-insured sector</w:t>
      </w:r>
      <w:bookmarkEnd w:id="69"/>
    </w:p>
    <w:p w14:paraId="64BA68A0" w14:textId="77777777" w:rsidR="00CE00EC" w:rsidRPr="004345ED" w:rsidRDefault="00CE00EC" w:rsidP="009968C2">
      <w:pPr>
        <w:pStyle w:val="BodyJustified"/>
      </w:pPr>
      <w:r w:rsidRPr="004345ED">
        <w:t xml:space="preserve">Most jurisdictions allow large employers to self-insure their workers’ compensation if they prove that they can manage the associated financial and other risks. Jurisdictions with a large proportion of employees under self-insurance arrangements include New South Wales, South Australia, Tasmania and </w:t>
      </w:r>
      <w:r w:rsidR="007F642E" w:rsidRPr="004345ED">
        <w:t>Comcare</w:t>
      </w:r>
      <w:r w:rsidRPr="004345ED">
        <w:t xml:space="preserve">. Significantly fewer self-insurers operate in Victoria, Queensland, Western </w:t>
      </w:r>
      <w:proofErr w:type="gramStart"/>
      <w:r w:rsidRPr="004345ED">
        <w:t>Australia</w:t>
      </w:r>
      <w:proofErr w:type="gramEnd"/>
      <w:r w:rsidRPr="004345ED">
        <w:t xml:space="preserve"> and the Australian Capital Territory Private Scheme. </w:t>
      </w:r>
      <w:proofErr w:type="gramStart"/>
      <w:r w:rsidRPr="004345ED">
        <w:t>A number of</w:t>
      </w:r>
      <w:proofErr w:type="gramEnd"/>
      <w:r w:rsidRPr="004345ED">
        <w:t xml:space="preserve"> methodologies are employed in this report to obtain an estimate of the amount of premium that self-insurers would pay. </w:t>
      </w:r>
    </w:p>
    <w:p w14:paraId="5E4CA28E" w14:textId="6948FF67" w:rsidR="00CE00EC" w:rsidRDefault="00CE00EC" w:rsidP="00F9415A">
      <w:pPr>
        <w:pStyle w:val="Heading2"/>
      </w:pPr>
      <w:bookmarkStart w:id="70" w:name="_Toc80289696"/>
      <w:r>
        <w:t>Employer excess factors</w:t>
      </w:r>
      <w:bookmarkEnd w:id="70"/>
    </w:p>
    <w:p w14:paraId="3D051906" w14:textId="347CC3A2" w:rsidR="00CE00EC" w:rsidRDefault="00CE00EC" w:rsidP="009968C2">
      <w:pPr>
        <w:pStyle w:val="BodyJustified"/>
      </w:pPr>
      <w:r>
        <w:t xml:space="preserve">Some schemes have non-compensable excesses where the employer pays the first </w:t>
      </w:r>
      <w:proofErr w:type="gramStart"/>
      <w:r>
        <w:t>five or 10 days</w:t>
      </w:r>
      <w:proofErr w:type="gramEnd"/>
      <w:r>
        <w:t xml:space="preserve"> compensation and/or meets medical expenses to a maximum amount. To improve comparability of premium rates a common deductible for the first five days of compensation with no medical costs has been applied.</w:t>
      </w:r>
      <w:r w:rsidR="00E97A07">
        <w:t xml:space="preserve"> </w:t>
      </w:r>
      <w:r>
        <w:t>The factors applied to the insured sector data in each jurisdiction are shown in Appendix</w:t>
      </w:r>
      <w:r w:rsidR="00D527BF">
        <w:t> </w:t>
      </w:r>
      <w:r>
        <w:t>1</w:t>
      </w:r>
      <w:r w:rsidR="00D527BF">
        <w:t> </w:t>
      </w:r>
      <w:r>
        <w:t>–</w:t>
      </w:r>
      <w:r w:rsidR="00D527BF">
        <w:t> </w:t>
      </w:r>
      <w:r>
        <w:t>Table</w:t>
      </w:r>
      <w:r w:rsidR="00DA5A0A">
        <w:t> 1</w:t>
      </w:r>
      <w:r>
        <w:t>. Adjustment factors have also been applied to the self-insured sector to make the data consistent with the common deductible of the first five days compensation with no medical costs.</w:t>
      </w:r>
    </w:p>
    <w:p w14:paraId="079DC331" w14:textId="05BBB99E" w:rsidR="00CE00EC" w:rsidRDefault="00CE00EC" w:rsidP="00F9415A">
      <w:pPr>
        <w:pStyle w:val="Heading2"/>
      </w:pPr>
      <w:bookmarkStart w:id="71" w:name="_Toc80289697"/>
      <w:r>
        <w:t>Journey factors</w:t>
      </w:r>
      <w:bookmarkEnd w:id="71"/>
    </w:p>
    <w:p w14:paraId="4A55D144" w14:textId="41D1FCF7" w:rsidR="000B5B63" w:rsidRDefault="00252F70" w:rsidP="009968C2">
      <w:pPr>
        <w:pStyle w:val="BodyJustified"/>
      </w:pPr>
      <w:r>
        <w:t xml:space="preserve">Queensland and the Australian Capital Territory Private Scheme </w:t>
      </w:r>
      <w:r w:rsidR="00CE00EC">
        <w:t>provide some level of coverage for journey claims. Hence, an estimated amount equal to the cost of providing this coverage has been removed from the premium rates of the jurisdictions that provide this type of coverage. The factors applied a</w:t>
      </w:r>
      <w:r w:rsidR="009B71AF">
        <w:t>re shown in Appendix 1 – Table 1</w:t>
      </w:r>
      <w:r w:rsidR="00CE00EC">
        <w:t>. In New Zealand, journey claims are covered by a different scheme.</w:t>
      </w:r>
    </w:p>
    <w:p w14:paraId="594A0CD2" w14:textId="77777777" w:rsidR="000B5B63" w:rsidRDefault="000B5B63">
      <w:pPr>
        <w:spacing w:before="0" w:after="200" w:line="276" w:lineRule="auto"/>
        <w:jc w:val="left"/>
        <w:rPr>
          <w:rFonts w:eastAsiaTheme="minorHAnsi" w:cs="Arial"/>
          <w:color w:val="000000" w:themeColor="text1"/>
          <w:szCs w:val="22"/>
          <w:lang w:val="en-US" w:eastAsia="en-US"/>
        </w:rPr>
      </w:pPr>
      <w:r>
        <w:br w:type="page"/>
      </w:r>
    </w:p>
    <w:p w14:paraId="08DABC71" w14:textId="4052FF70" w:rsidR="00CE00EC" w:rsidRPr="00C569D9" w:rsidRDefault="00CE00EC" w:rsidP="00CB108E">
      <w:pPr>
        <w:pStyle w:val="SWATableheader"/>
        <w:rPr>
          <w:color w:val="00B050"/>
          <w:lang w:val="en-GB"/>
        </w:rPr>
      </w:pPr>
      <w:r w:rsidRPr="00C16BBF">
        <w:rPr>
          <w:lang w:val="en-GB"/>
        </w:rPr>
        <w:lastRenderedPageBreak/>
        <w:t xml:space="preserve">Appendix 1 – </w:t>
      </w:r>
      <w:r w:rsidR="009B71AF" w:rsidRPr="00C16BBF">
        <w:rPr>
          <w:lang w:val="en-GB"/>
        </w:rPr>
        <w:t>Table 1</w:t>
      </w:r>
      <w:r w:rsidRPr="00C16BBF">
        <w:rPr>
          <w:lang w:val="en-GB"/>
        </w:rPr>
        <w:t>: Premium rate adjustment factors (</w:t>
      </w:r>
      <w:r w:rsidR="006B30A6" w:rsidRPr="00C16BBF">
        <w:rPr>
          <w:lang w:val="en-GB"/>
        </w:rPr>
        <w:t>%</w:t>
      </w:r>
      <w:r w:rsidRPr="00C16BBF">
        <w:rPr>
          <w:lang w:val="en-GB"/>
        </w:rPr>
        <w:t>)</w:t>
      </w:r>
      <w:r w:rsidRPr="00B263A1">
        <w:rPr>
          <w:lang w:val="en-GB"/>
        </w:rPr>
        <w:t xml:space="preserve"> </w:t>
      </w:r>
      <w:r w:rsidR="004046BE">
        <w:rPr>
          <w:lang w:val="en-GB"/>
        </w:rPr>
        <w:t xml:space="preserve"> </w:t>
      </w:r>
    </w:p>
    <w:tbl>
      <w:tblPr>
        <w:tblW w:w="9371" w:type="dxa"/>
        <w:tblInd w:w="93" w:type="dxa"/>
        <w:tblLayout w:type="fixed"/>
        <w:tblLook w:val="04A0" w:firstRow="1" w:lastRow="0" w:firstColumn="1" w:lastColumn="0" w:noHBand="0" w:noVBand="1"/>
        <w:tblCaption w:val="Appendix 1 – Table 1: Premium rate adjustment factors (%)  "/>
        <w:tblDescription w:val="This table contains per cent values of the insured and self-insured sectors premium rate adjustment factors by Australian jurisdictions and New Zealand."/>
      </w:tblPr>
      <w:tblGrid>
        <w:gridCol w:w="3134"/>
        <w:gridCol w:w="1701"/>
        <w:gridCol w:w="1701"/>
        <w:gridCol w:w="1701"/>
        <w:gridCol w:w="1134"/>
      </w:tblGrid>
      <w:tr w:rsidR="000071CC" w:rsidRPr="004345ED" w14:paraId="358C6E1E" w14:textId="77777777" w:rsidTr="0050228A">
        <w:trPr>
          <w:cantSplit/>
          <w:trHeight w:val="319"/>
          <w:tblHeader/>
        </w:trPr>
        <w:tc>
          <w:tcPr>
            <w:tcW w:w="3134" w:type="dxa"/>
            <w:vMerge w:val="restart"/>
            <w:tcBorders>
              <w:top w:val="nil"/>
              <w:left w:val="single" w:sz="8" w:space="0" w:color="FFFFFF"/>
              <w:bottom w:val="single" w:sz="8" w:space="0" w:color="FFFFFF"/>
              <w:right w:val="single" w:sz="8" w:space="0" w:color="FFFFFF"/>
            </w:tcBorders>
            <w:shd w:val="clear" w:color="000000" w:fill="AF1E2D"/>
            <w:vAlign w:val="center"/>
            <w:hideMark/>
          </w:tcPr>
          <w:p w14:paraId="4A7C00F5" w14:textId="77777777" w:rsidR="000071CC" w:rsidRPr="004345ED" w:rsidRDefault="000071CC" w:rsidP="000071CC">
            <w:pPr>
              <w:spacing w:before="0"/>
              <w:jc w:val="center"/>
              <w:rPr>
                <w:rFonts w:cs="Arial"/>
                <w:b/>
                <w:bCs/>
                <w:color w:val="FFFFFF"/>
                <w:szCs w:val="20"/>
              </w:rPr>
            </w:pPr>
            <w:r w:rsidRPr="004345ED">
              <w:rPr>
                <w:rFonts w:cs="Arial"/>
                <w:b/>
                <w:bCs/>
                <w:color w:val="FFFFFF"/>
                <w:szCs w:val="20"/>
              </w:rPr>
              <w:t>Jurisdiction</w:t>
            </w:r>
          </w:p>
        </w:tc>
        <w:tc>
          <w:tcPr>
            <w:tcW w:w="5103" w:type="dxa"/>
            <w:gridSpan w:val="3"/>
            <w:tcBorders>
              <w:top w:val="nil"/>
              <w:left w:val="nil"/>
              <w:bottom w:val="single" w:sz="8" w:space="0" w:color="FFFFFF"/>
              <w:right w:val="single" w:sz="8" w:space="0" w:color="FFFFFF"/>
            </w:tcBorders>
            <w:shd w:val="clear" w:color="000000" w:fill="AF1E2D"/>
            <w:vAlign w:val="center"/>
            <w:hideMark/>
          </w:tcPr>
          <w:p w14:paraId="123DA2E7" w14:textId="77777777" w:rsidR="000071CC" w:rsidRPr="004345ED" w:rsidRDefault="000071CC" w:rsidP="000071CC">
            <w:pPr>
              <w:spacing w:before="0"/>
              <w:jc w:val="center"/>
              <w:rPr>
                <w:rFonts w:cs="Arial"/>
                <w:b/>
                <w:bCs/>
                <w:color w:val="FFFFFF"/>
                <w:szCs w:val="20"/>
              </w:rPr>
            </w:pPr>
            <w:r w:rsidRPr="004345ED">
              <w:rPr>
                <w:rFonts w:cs="Arial"/>
                <w:b/>
                <w:bCs/>
                <w:color w:val="FFFFFF"/>
                <w:szCs w:val="20"/>
              </w:rPr>
              <w:t>Employer excess factors</w:t>
            </w:r>
          </w:p>
        </w:tc>
        <w:tc>
          <w:tcPr>
            <w:tcW w:w="1134" w:type="dxa"/>
            <w:vMerge w:val="restart"/>
            <w:tcBorders>
              <w:top w:val="nil"/>
              <w:left w:val="single" w:sz="8" w:space="0" w:color="FFFFFF"/>
              <w:bottom w:val="single" w:sz="8" w:space="0" w:color="FFFFFF"/>
              <w:right w:val="single" w:sz="8" w:space="0" w:color="FFFFFF"/>
            </w:tcBorders>
            <w:shd w:val="clear" w:color="000000" w:fill="AF1E2D"/>
            <w:vAlign w:val="center"/>
            <w:hideMark/>
          </w:tcPr>
          <w:p w14:paraId="619F40F9" w14:textId="77777777" w:rsidR="000071CC" w:rsidRPr="004345ED" w:rsidRDefault="000071CC" w:rsidP="00701028">
            <w:pPr>
              <w:spacing w:before="0"/>
              <w:jc w:val="center"/>
              <w:rPr>
                <w:rFonts w:cs="Arial"/>
                <w:b/>
                <w:bCs/>
                <w:color w:val="FFFFFF"/>
                <w:szCs w:val="20"/>
              </w:rPr>
            </w:pPr>
            <w:r w:rsidRPr="004345ED">
              <w:rPr>
                <w:rFonts w:cs="Arial"/>
                <w:b/>
                <w:bCs/>
                <w:color w:val="FFFFFF"/>
                <w:szCs w:val="20"/>
              </w:rPr>
              <w:t>Journey</w:t>
            </w:r>
          </w:p>
        </w:tc>
      </w:tr>
      <w:tr w:rsidR="000071CC" w:rsidRPr="004345ED" w14:paraId="06718199" w14:textId="77777777"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14:paraId="676950AF" w14:textId="77777777" w:rsidR="000071CC" w:rsidRPr="004345ED" w:rsidRDefault="000071CC" w:rsidP="000071CC">
            <w:pPr>
              <w:spacing w:before="0"/>
              <w:jc w:val="left"/>
              <w:rPr>
                <w:rFonts w:cs="Arial"/>
                <w:b/>
                <w:bCs/>
                <w:color w:val="FFFFFF"/>
                <w:szCs w:val="20"/>
              </w:rPr>
            </w:pPr>
          </w:p>
        </w:tc>
        <w:tc>
          <w:tcPr>
            <w:tcW w:w="3402" w:type="dxa"/>
            <w:gridSpan w:val="2"/>
            <w:tcBorders>
              <w:top w:val="single" w:sz="8" w:space="0" w:color="FFFFFF"/>
              <w:left w:val="nil"/>
              <w:bottom w:val="single" w:sz="8" w:space="0" w:color="FFFFFF"/>
              <w:right w:val="single" w:sz="8" w:space="0" w:color="FFFFFF"/>
            </w:tcBorders>
            <w:shd w:val="clear" w:color="000000" w:fill="AF1E2D"/>
            <w:vAlign w:val="center"/>
            <w:hideMark/>
          </w:tcPr>
          <w:p w14:paraId="4E4936F8" w14:textId="77777777" w:rsidR="000071CC" w:rsidRPr="004345ED" w:rsidRDefault="000071CC" w:rsidP="000071CC">
            <w:pPr>
              <w:spacing w:before="0"/>
              <w:jc w:val="center"/>
              <w:rPr>
                <w:rFonts w:cs="Arial"/>
                <w:b/>
                <w:bCs/>
                <w:color w:val="FFFFFF"/>
                <w:szCs w:val="20"/>
              </w:rPr>
            </w:pPr>
            <w:r w:rsidRPr="004345ED">
              <w:rPr>
                <w:rFonts w:cs="Arial"/>
                <w:b/>
                <w:bCs/>
                <w:color w:val="FFFFFF"/>
                <w:szCs w:val="20"/>
              </w:rPr>
              <w:t>Insured sector</w:t>
            </w:r>
          </w:p>
        </w:tc>
        <w:tc>
          <w:tcPr>
            <w:tcW w:w="1701" w:type="dxa"/>
            <w:tcBorders>
              <w:top w:val="nil"/>
              <w:left w:val="nil"/>
              <w:bottom w:val="single" w:sz="8" w:space="0" w:color="FFFFFF"/>
              <w:right w:val="single" w:sz="8" w:space="0" w:color="FFFFFF"/>
            </w:tcBorders>
            <w:shd w:val="clear" w:color="000000" w:fill="AF1E2D"/>
            <w:vAlign w:val="center"/>
            <w:hideMark/>
          </w:tcPr>
          <w:p w14:paraId="69CEA96C" w14:textId="77777777" w:rsidR="000071CC" w:rsidRPr="004345ED" w:rsidRDefault="00BF6788" w:rsidP="000071CC">
            <w:pPr>
              <w:spacing w:before="0"/>
              <w:jc w:val="center"/>
              <w:rPr>
                <w:rFonts w:cs="Arial"/>
                <w:b/>
                <w:bCs/>
                <w:color w:val="FFFFFF"/>
                <w:szCs w:val="20"/>
              </w:rPr>
            </w:pPr>
            <w:r w:rsidRPr="004345ED">
              <w:rPr>
                <w:rFonts w:cs="Arial"/>
                <w:b/>
                <w:bCs/>
                <w:color w:val="FFFFFF"/>
                <w:szCs w:val="20"/>
              </w:rPr>
              <w:t>Self-</w:t>
            </w:r>
            <w:r w:rsidR="000071CC" w:rsidRPr="004345ED">
              <w:rPr>
                <w:rFonts w:cs="Arial"/>
                <w:b/>
                <w:bCs/>
                <w:color w:val="FFFFFF"/>
                <w:szCs w:val="20"/>
              </w:rPr>
              <w:t>insured</w:t>
            </w:r>
          </w:p>
        </w:tc>
        <w:tc>
          <w:tcPr>
            <w:tcW w:w="1134" w:type="dxa"/>
            <w:vMerge/>
            <w:tcBorders>
              <w:top w:val="nil"/>
              <w:left w:val="single" w:sz="8" w:space="0" w:color="FFFFFF"/>
              <w:bottom w:val="single" w:sz="8" w:space="0" w:color="FFFFFF"/>
              <w:right w:val="single" w:sz="8" w:space="0" w:color="FFFFFF"/>
            </w:tcBorders>
            <w:vAlign w:val="center"/>
            <w:hideMark/>
          </w:tcPr>
          <w:p w14:paraId="38469290" w14:textId="77777777" w:rsidR="000071CC" w:rsidRPr="004345ED" w:rsidRDefault="000071CC" w:rsidP="000071CC">
            <w:pPr>
              <w:spacing w:before="0"/>
              <w:jc w:val="left"/>
              <w:rPr>
                <w:rFonts w:cs="Arial"/>
                <w:b/>
                <w:bCs/>
                <w:color w:val="FFFFFF"/>
                <w:szCs w:val="20"/>
              </w:rPr>
            </w:pPr>
          </w:p>
        </w:tc>
      </w:tr>
      <w:tr w:rsidR="000071CC" w:rsidRPr="004345ED" w14:paraId="13010785" w14:textId="77777777" w:rsidTr="0050228A">
        <w:trPr>
          <w:trHeight w:val="319"/>
          <w:tblHeader/>
        </w:trPr>
        <w:tc>
          <w:tcPr>
            <w:tcW w:w="3134" w:type="dxa"/>
            <w:vMerge/>
            <w:tcBorders>
              <w:top w:val="nil"/>
              <w:left w:val="single" w:sz="8" w:space="0" w:color="FFFFFF"/>
              <w:bottom w:val="single" w:sz="8" w:space="0" w:color="FFFFFF"/>
              <w:right w:val="single" w:sz="8" w:space="0" w:color="FFFFFF"/>
            </w:tcBorders>
            <w:vAlign w:val="center"/>
            <w:hideMark/>
          </w:tcPr>
          <w:p w14:paraId="4B85718B" w14:textId="77777777" w:rsidR="000071CC" w:rsidRPr="004345ED" w:rsidRDefault="000071CC" w:rsidP="000071CC">
            <w:pPr>
              <w:spacing w:before="0"/>
              <w:jc w:val="left"/>
              <w:rPr>
                <w:rFonts w:cs="Arial"/>
                <w:b/>
                <w:bCs/>
                <w:color w:val="FFFFFF"/>
                <w:szCs w:val="20"/>
              </w:rPr>
            </w:pPr>
          </w:p>
        </w:tc>
        <w:tc>
          <w:tcPr>
            <w:tcW w:w="1701" w:type="dxa"/>
            <w:tcBorders>
              <w:top w:val="nil"/>
              <w:left w:val="nil"/>
              <w:bottom w:val="single" w:sz="8" w:space="0" w:color="FFFFFF"/>
              <w:right w:val="single" w:sz="8" w:space="0" w:color="FFFFFF"/>
            </w:tcBorders>
            <w:shd w:val="clear" w:color="000000" w:fill="AF1E2D"/>
            <w:vAlign w:val="center"/>
            <w:hideMark/>
          </w:tcPr>
          <w:p w14:paraId="5961CCB8" w14:textId="77777777" w:rsidR="000071CC" w:rsidRPr="004345ED" w:rsidRDefault="000071CC" w:rsidP="000071CC">
            <w:pPr>
              <w:spacing w:before="0"/>
              <w:jc w:val="center"/>
              <w:rPr>
                <w:rFonts w:cs="Arial"/>
                <w:b/>
                <w:bCs/>
                <w:color w:val="FFFFFF"/>
                <w:szCs w:val="20"/>
              </w:rPr>
            </w:pPr>
            <w:r w:rsidRPr="004345ED">
              <w:rPr>
                <w:rFonts w:cs="Arial"/>
                <w:b/>
                <w:bCs/>
                <w:color w:val="FFFFFF"/>
                <w:szCs w:val="20"/>
              </w:rPr>
              <w:t>Time lost excess</w:t>
            </w:r>
          </w:p>
        </w:tc>
        <w:tc>
          <w:tcPr>
            <w:tcW w:w="1701" w:type="dxa"/>
            <w:tcBorders>
              <w:top w:val="nil"/>
              <w:left w:val="nil"/>
              <w:bottom w:val="single" w:sz="8" w:space="0" w:color="FFFFFF"/>
              <w:right w:val="single" w:sz="8" w:space="0" w:color="FFFFFF"/>
            </w:tcBorders>
            <w:shd w:val="clear" w:color="000000" w:fill="AF1E2D"/>
            <w:vAlign w:val="center"/>
            <w:hideMark/>
          </w:tcPr>
          <w:p w14:paraId="17F785EA" w14:textId="77777777" w:rsidR="000071CC" w:rsidRPr="004345ED" w:rsidRDefault="000071CC" w:rsidP="000071CC">
            <w:pPr>
              <w:spacing w:before="0"/>
              <w:jc w:val="center"/>
              <w:rPr>
                <w:rFonts w:cs="Arial"/>
                <w:b/>
                <w:bCs/>
                <w:color w:val="FFFFFF"/>
                <w:szCs w:val="20"/>
              </w:rPr>
            </w:pPr>
            <w:r w:rsidRPr="004345ED">
              <w:rPr>
                <w:rFonts w:cs="Arial"/>
                <w:b/>
                <w:bCs/>
                <w:color w:val="FFFFFF"/>
                <w:szCs w:val="20"/>
              </w:rPr>
              <w:t>Medical expenses</w:t>
            </w:r>
          </w:p>
        </w:tc>
        <w:tc>
          <w:tcPr>
            <w:tcW w:w="1701" w:type="dxa"/>
            <w:tcBorders>
              <w:top w:val="nil"/>
              <w:left w:val="nil"/>
              <w:bottom w:val="single" w:sz="8" w:space="0" w:color="FFFFFF"/>
              <w:right w:val="single" w:sz="8" w:space="0" w:color="FFFFFF"/>
            </w:tcBorders>
            <w:shd w:val="clear" w:color="000000" w:fill="AF1E2D"/>
            <w:vAlign w:val="center"/>
            <w:hideMark/>
          </w:tcPr>
          <w:p w14:paraId="0DD91809" w14:textId="77777777" w:rsidR="000071CC" w:rsidRPr="004345ED" w:rsidRDefault="000071CC" w:rsidP="000071CC">
            <w:pPr>
              <w:spacing w:before="0"/>
              <w:jc w:val="center"/>
              <w:rPr>
                <w:rFonts w:cs="Arial"/>
                <w:b/>
                <w:bCs/>
                <w:color w:val="FFFFFF"/>
                <w:szCs w:val="20"/>
              </w:rPr>
            </w:pPr>
            <w:r w:rsidRPr="004345ED">
              <w:rPr>
                <w:rFonts w:cs="Arial"/>
                <w:b/>
                <w:bCs/>
                <w:color w:val="FFFFFF"/>
                <w:szCs w:val="20"/>
              </w:rPr>
              <w:t>Time lost excess</w:t>
            </w:r>
          </w:p>
        </w:tc>
        <w:tc>
          <w:tcPr>
            <w:tcW w:w="1134" w:type="dxa"/>
            <w:vMerge/>
            <w:tcBorders>
              <w:top w:val="nil"/>
              <w:left w:val="single" w:sz="8" w:space="0" w:color="FFFFFF"/>
              <w:bottom w:val="single" w:sz="8" w:space="0" w:color="FFFFFF"/>
              <w:right w:val="single" w:sz="8" w:space="0" w:color="FFFFFF"/>
            </w:tcBorders>
            <w:vAlign w:val="center"/>
            <w:hideMark/>
          </w:tcPr>
          <w:p w14:paraId="5C7BC352" w14:textId="77777777" w:rsidR="000071CC" w:rsidRPr="004345ED" w:rsidRDefault="000071CC" w:rsidP="000071CC">
            <w:pPr>
              <w:spacing w:before="0"/>
              <w:jc w:val="left"/>
              <w:rPr>
                <w:rFonts w:cs="Arial"/>
                <w:b/>
                <w:bCs/>
                <w:color w:val="FFFFFF"/>
                <w:szCs w:val="20"/>
              </w:rPr>
            </w:pPr>
          </w:p>
        </w:tc>
      </w:tr>
      <w:tr w:rsidR="000071CC" w:rsidRPr="004345ED" w14:paraId="06246C8A"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298A2DEB" w14:textId="77777777" w:rsidR="000071CC" w:rsidRPr="004345ED" w:rsidRDefault="000071CC" w:rsidP="000071CC">
            <w:pPr>
              <w:spacing w:before="0"/>
              <w:jc w:val="left"/>
              <w:rPr>
                <w:rFonts w:cs="Arial"/>
                <w:color w:val="000000"/>
                <w:szCs w:val="20"/>
              </w:rPr>
            </w:pPr>
            <w:r w:rsidRPr="004345ED">
              <w:rPr>
                <w:rFonts w:cs="Arial"/>
                <w:color w:val="000000"/>
                <w:szCs w:val="20"/>
              </w:rPr>
              <w:t>New South Wales</w:t>
            </w:r>
          </w:p>
        </w:tc>
        <w:tc>
          <w:tcPr>
            <w:tcW w:w="1701" w:type="dxa"/>
            <w:tcBorders>
              <w:top w:val="nil"/>
              <w:left w:val="nil"/>
              <w:bottom w:val="single" w:sz="8" w:space="0" w:color="FFFFFF"/>
              <w:right w:val="single" w:sz="8" w:space="0" w:color="FFFFFF"/>
            </w:tcBorders>
            <w:shd w:val="clear" w:color="000000" w:fill="EFD3D2"/>
            <w:noWrap/>
            <w:vAlign w:val="center"/>
            <w:hideMark/>
          </w:tcPr>
          <w:p w14:paraId="3510577B" w14:textId="12B1634D" w:rsidR="000071CC" w:rsidRPr="004345ED" w:rsidRDefault="008D4D84" w:rsidP="000071CC">
            <w:pPr>
              <w:spacing w:before="0"/>
              <w:jc w:val="right"/>
              <w:rPr>
                <w:rFonts w:cs="Arial"/>
                <w:color w:val="000000"/>
                <w:szCs w:val="20"/>
              </w:rPr>
            </w:pPr>
            <w:r w:rsidRPr="004345ED">
              <w:rPr>
                <w:rFonts w:cs="Arial"/>
                <w:color w:val="000000"/>
                <w:szCs w:val="20"/>
              </w:rPr>
              <w:t>-2.1</w:t>
            </w:r>
          </w:p>
        </w:tc>
        <w:tc>
          <w:tcPr>
            <w:tcW w:w="1701" w:type="dxa"/>
            <w:tcBorders>
              <w:top w:val="nil"/>
              <w:left w:val="nil"/>
              <w:bottom w:val="single" w:sz="8" w:space="0" w:color="FFFFFF"/>
              <w:right w:val="single" w:sz="8" w:space="0" w:color="FFFFFF"/>
            </w:tcBorders>
            <w:shd w:val="clear" w:color="000000" w:fill="EFD3D2"/>
            <w:noWrap/>
            <w:vAlign w:val="center"/>
            <w:hideMark/>
          </w:tcPr>
          <w:p w14:paraId="4EF8CB9F"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39A8669B" w14:textId="3A3B4815" w:rsidR="000071CC" w:rsidRPr="004345ED" w:rsidRDefault="000071CC" w:rsidP="000071CC">
            <w:pPr>
              <w:spacing w:before="0"/>
              <w:jc w:val="right"/>
              <w:rPr>
                <w:rFonts w:cs="Arial"/>
                <w:color w:val="000000"/>
                <w:szCs w:val="20"/>
              </w:rPr>
            </w:pPr>
            <w:r w:rsidRPr="004345ED">
              <w:rPr>
                <w:rFonts w:cs="Arial"/>
                <w:color w:val="000000"/>
                <w:szCs w:val="20"/>
              </w:rPr>
              <w:t>-</w:t>
            </w:r>
            <w:r w:rsidR="008D4D84" w:rsidRPr="004345ED">
              <w:rPr>
                <w:rFonts w:cs="Arial"/>
                <w:color w:val="000000"/>
                <w:szCs w:val="20"/>
              </w:rPr>
              <w:t>3.5</w:t>
            </w:r>
          </w:p>
        </w:tc>
        <w:tc>
          <w:tcPr>
            <w:tcW w:w="1134" w:type="dxa"/>
            <w:tcBorders>
              <w:top w:val="nil"/>
              <w:left w:val="nil"/>
              <w:bottom w:val="single" w:sz="8" w:space="0" w:color="FFFFFF"/>
              <w:right w:val="single" w:sz="8" w:space="0" w:color="FFFFFF"/>
            </w:tcBorders>
            <w:shd w:val="clear" w:color="000000" w:fill="EFD3D2"/>
            <w:vAlign w:val="center"/>
            <w:hideMark/>
          </w:tcPr>
          <w:p w14:paraId="0C752BF7"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r>
      <w:tr w:rsidR="000071CC" w:rsidRPr="004345ED" w14:paraId="171B3174"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3E649A63" w14:textId="77777777" w:rsidR="000071CC" w:rsidRPr="004345ED" w:rsidRDefault="000071CC" w:rsidP="000071CC">
            <w:pPr>
              <w:spacing w:before="0"/>
              <w:jc w:val="left"/>
              <w:rPr>
                <w:rFonts w:cs="Arial"/>
                <w:color w:val="000000"/>
                <w:szCs w:val="20"/>
              </w:rPr>
            </w:pPr>
            <w:r w:rsidRPr="004345ED">
              <w:rPr>
                <w:rFonts w:cs="Arial"/>
                <w:color w:val="000000"/>
                <w:szCs w:val="20"/>
              </w:rPr>
              <w:t>Victoria</w:t>
            </w:r>
          </w:p>
        </w:tc>
        <w:tc>
          <w:tcPr>
            <w:tcW w:w="1701" w:type="dxa"/>
            <w:tcBorders>
              <w:top w:val="nil"/>
              <w:left w:val="nil"/>
              <w:bottom w:val="single" w:sz="8" w:space="0" w:color="FFFFFF"/>
              <w:right w:val="single" w:sz="8" w:space="0" w:color="FFFFFF"/>
            </w:tcBorders>
            <w:shd w:val="clear" w:color="auto" w:fill="auto"/>
            <w:noWrap/>
            <w:vAlign w:val="center"/>
            <w:hideMark/>
          </w:tcPr>
          <w:p w14:paraId="3483A0E8" w14:textId="77777777" w:rsidR="000071CC" w:rsidRPr="004345ED" w:rsidRDefault="000071CC" w:rsidP="000071CC">
            <w:pPr>
              <w:spacing w:before="0"/>
              <w:jc w:val="right"/>
              <w:rPr>
                <w:rFonts w:cs="Arial"/>
                <w:color w:val="000000"/>
                <w:szCs w:val="20"/>
              </w:rPr>
            </w:pPr>
            <w:r w:rsidRPr="004345ED">
              <w:rPr>
                <w:rFonts w:cs="Arial"/>
                <w:color w:val="000000"/>
                <w:szCs w:val="20"/>
              </w:rPr>
              <w:t>2.0</w:t>
            </w:r>
          </w:p>
        </w:tc>
        <w:tc>
          <w:tcPr>
            <w:tcW w:w="1701" w:type="dxa"/>
            <w:tcBorders>
              <w:top w:val="nil"/>
              <w:left w:val="nil"/>
              <w:bottom w:val="single" w:sz="8" w:space="0" w:color="FFFFFF"/>
              <w:right w:val="single" w:sz="8" w:space="0" w:color="FFFFFF"/>
            </w:tcBorders>
            <w:shd w:val="clear" w:color="auto" w:fill="auto"/>
            <w:noWrap/>
            <w:vAlign w:val="center"/>
            <w:hideMark/>
          </w:tcPr>
          <w:p w14:paraId="38C0AF0F" w14:textId="0F490F92" w:rsidR="000071CC" w:rsidRPr="004345ED" w:rsidRDefault="008D4D84" w:rsidP="000071CC">
            <w:pPr>
              <w:spacing w:before="0"/>
              <w:jc w:val="right"/>
              <w:rPr>
                <w:rFonts w:cs="Arial"/>
                <w:color w:val="000000"/>
                <w:szCs w:val="20"/>
              </w:rPr>
            </w:pPr>
            <w:r w:rsidRPr="004345ED">
              <w:rPr>
                <w:rFonts w:cs="Arial"/>
                <w:color w:val="000000"/>
                <w:szCs w:val="20"/>
              </w:rPr>
              <w:t>0.8</w:t>
            </w:r>
          </w:p>
        </w:tc>
        <w:tc>
          <w:tcPr>
            <w:tcW w:w="1701" w:type="dxa"/>
            <w:tcBorders>
              <w:top w:val="nil"/>
              <w:left w:val="nil"/>
              <w:bottom w:val="single" w:sz="8" w:space="0" w:color="FFFFFF"/>
              <w:right w:val="single" w:sz="8" w:space="0" w:color="FFFFFF"/>
            </w:tcBorders>
            <w:shd w:val="clear" w:color="auto" w:fill="auto"/>
            <w:noWrap/>
            <w:vAlign w:val="center"/>
            <w:hideMark/>
          </w:tcPr>
          <w:p w14:paraId="5308B6ED" w14:textId="1E461D34" w:rsidR="000071CC" w:rsidRPr="004345ED" w:rsidRDefault="000071CC" w:rsidP="000071CC">
            <w:pPr>
              <w:spacing w:before="0"/>
              <w:jc w:val="right"/>
              <w:rPr>
                <w:rFonts w:cs="Arial"/>
                <w:color w:val="000000"/>
                <w:szCs w:val="20"/>
              </w:rPr>
            </w:pPr>
            <w:r w:rsidRPr="004345ED">
              <w:rPr>
                <w:rFonts w:cs="Arial"/>
                <w:color w:val="000000"/>
                <w:szCs w:val="20"/>
              </w:rPr>
              <w:t>-</w:t>
            </w:r>
            <w:r w:rsidR="006B4AD9" w:rsidRPr="004345ED">
              <w:rPr>
                <w:rFonts w:cs="Arial"/>
                <w:color w:val="000000"/>
                <w:szCs w:val="20"/>
              </w:rPr>
              <w:t>3</w:t>
            </w:r>
            <w:r w:rsidR="008D4D84" w:rsidRPr="004345ED">
              <w:rPr>
                <w:rFonts w:cs="Arial"/>
                <w:color w:val="000000"/>
                <w:szCs w:val="20"/>
              </w:rPr>
              <w:t>.</w:t>
            </w:r>
            <w:r w:rsidR="006B4AD9" w:rsidRPr="004345ED">
              <w:rPr>
                <w:rFonts w:cs="Arial"/>
                <w:color w:val="000000"/>
                <w:szCs w:val="20"/>
              </w:rPr>
              <w:t>7</w:t>
            </w:r>
          </w:p>
        </w:tc>
        <w:tc>
          <w:tcPr>
            <w:tcW w:w="1134" w:type="dxa"/>
            <w:tcBorders>
              <w:top w:val="nil"/>
              <w:left w:val="nil"/>
              <w:bottom w:val="single" w:sz="8" w:space="0" w:color="FFFFFF"/>
              <w:right w:val="single" w:sz="8" w:space="0" w:color="FFFFFF"/>
            </w:tcBorders>
            <w:shd w:val="clear" w:color="auto" w:fill="auto"/>
            <w:vAlign w:val="center"/>
            <w:hideMark/>
          </w:tcPr>
          <w:p w14:paraId="105E9232"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r>
      <w:tr w:rsidR="000071CC" w:rsidRPr="004345ED" w14:paraId="571F0641"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0944E5D8" w14:textId="77777777" w:rsidR="000071CC" w:rsidRPr="004345ED" w:rsidRDefault="000071CC" w:rsidP="000071CC">
            <w:pPr>
              <w:spacing w:before="0"/>
              <w:jc w:val="left"/>
              <w:rPr>
                <w:rFonts w:cs="Arial"/>
                <w:color w:val="000000"/>
                <w:szCs w:val="20"/>
              </w:rPr>
            </w:pPr>
            <w:r w:rsidRPr="004345ED">
              <w:rPr>
                <w:rFonts w:cs="Arial"/>
                <w:color w:val="000000"/>
                <w:szCs w:val="20"/>
              </w:rPr>
              <w:t>Queensland</w:t>
            </w:r>
          </w:p>
        </w:tc>
        <w:tc>
          <w:tcPr>
            <w:tcW w:w="1701" w:type="dxa"/>
            <w:tcBorders>
              <w:top w:val="nil"/>
              <w:left w:val="nil"/>
              <w:bottom w:val="single" w:sz="8" w:space="0" w:color="FFFFFF"/>
              <w:right w:val="single" w:sz="8" w:space="0" w:color="FFFFFF"/>
            </w:tcBorders>
            <w:shd w:val="clear" w:color="000000" w:fill="EFD3D2"/>
            <w:noWrap/>
            <w:vAlign w:val="center"/>
            <w:hideMark/>
          </w:tcPr>
          <w:p w14:paraId="33323383"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27EEEA3B"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139C9168"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134" w:type="dxa"/>
            <w:tcBorders>
              <w:top w:val="nil"/>
              <w:left w:val="nil"/>
              <w:bottom w:val="single" w:sz="8" w:space="0" w:color="FFFFFF"/>
              <w:right w:val="single" w:sz="8" w:space="0" w:color="FFFFFF"/>
            </w:tcBorders>
            <w:shd w:val="clear" w:color="000000" w:fill="EFD3D2"/>
            <w:vAlign w:val="center"/>
            <w:hideMark/>
          </w:tcPr>
          <w:p w14:paraId="7883108E" w14:textId="390F88D3" w:rsidR="000071CC" w:rsidRPr="004345ED" w:rsidRDefault="000071CC" w:rsidP="000071CC">
            <w:pPr>
              <w:spacing w:before="0"/>
              <w:jc w:val="right"/>
              <w:rPr>
                <w:rFonts w:cs="Arial"/>
                <w:color w:val="000000"/>
                <w:szCs w:val="20"/>
              </w:rPr>
            </w:pPr>
            <w:r w:rsidRPr="004345ED">
              <w:rPr>
                <w:rFonts w:cs="Arial"/>
                <w:color w:val="000000"/>
                <w:szCs w:val="20"/>
              </w:rPr>
              <w:t>-6.</w:t>
            </w:r>
            <w:r w:rsidR="00407A1B" w:rsidRPr="004345ED">
              <w:rPr>
                <w:rFonts w:cs="Arial"/>
                <w:color w:val="000000"/>
                <w:szCs w:val="20"/>
              </w:rPr>
              <w:t>8</w:t>
            </w:r>
          </w:p>
        </w:tc>
      </w:tr>
      <w:tr w:rsidR="000071CC" w:rsidRPr="004345ED" w14:paraId="0C9119BD"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5C3FD064" w14:textId="77777777" w:rsidR="000071CC" w:rsidRPr="004345ED" w:rsidRDefault="000071CC" w:rsidP="000071CC">
            <w:pPr>
              <w:spacing w:before="0"/>
              <w:jc w:val="left"/>
              <w:rPr>
                <w:rFonts w:cs="Arial"/>
                <w:color w:val="000000"/>
                <w:szCs w:val="20"/>
              </w:rPr>
            </w:pPr>
            <w:r w:rsidRPr="004345ED">
              <w:rPr>
                <w:rFonts w:cs="Arial"/>
                <w:color w:val="000000"/>
                <w:szCs w:val="20"/>
              </w:rPr>
              <w:t>Western Australia</w:t>
            </w:r>
          </w:p>
        </w:tc>
        <w:tc>
          <w:tcPr>
            <w:tcW w:w="1701" w:type="dxa"/>
            <w:tcBorders>
              <w:top w:val="nil"/>
              <w:left w:val="nil"/>
              <w:bottom w:val="single" w:sz="8" w:space="0" w:color="FFFFFF"/>
              <w:right w:val="single" w:sz="8" w:space="0" w:color="FFFFFF"/>
            </w:tcBorders>
            <w:shd w:val="clear" w:color="auto" w:fill="auto"/>
            <w:noWrap/>
            <w:vAlign w:val="center"/>
            <w:hideMark/>
          </w:tcPr>
          <w:p w14:paraId="172A71EF" w14:textId="07CD33A1" w:rsidR="000071CC" w:rsidRPr="004345ED" w:rsidRDefault="000071CC" w:rsidP="000071CC">
            <w:pPr>
              <w:spacing w:before="0"/>
              <w:jc w:val="right"/>
              <w:rPr>
                <w:rFonts w:cs="Arial"/>
                <w:color w:val="000000"/>
                <w:szCs w:val="20"/>
              </w:rPr>
            </w:pPr>
            <w:r w:rsidRPr="004345ED">
              <w:rPr>
                <w:rFonts w:cs="Arial"/>
                <w:color w:val="000000"/>
                <w:szCs w:val="20"/>
              </w:rPr>
              <w:t>-</w:t>
            </w:r>
            <w:r w:rsidR="008D4D84" w:rsidRPr="004345ED">
              <w:rPr>
                <w:rFonts w:cs="Arial"/>
                <w:color w:val="000000"/>
                <w:szCs w:val="20"/>
              </w:rPr>
              <w:t>3.</w:t>
            </w:r>
            <w:r w:rsidR="005A70B1" w:rsidRPr="004345ED">
              <w:rPr>
                <w:rFonts w:cs="Arial"/>
                <w:color w:val="000000"/>
                <w:szCs w:val="20"/>
              </w:rPr>
              <w:t>3</w:t>
            </w:r>
          </w:p>
        </w:tc>
        <w:tc>
          <w:tcPr>
            <w:tcW w:w="1701" w:type="dxa"/>
            <w:tcBorders>
              <w:top w:val="nil"/>
              <w:left w:val="nil"/>
              <w:bottom w:val="single" w:sz="8" w:space="0" w:color="FFFFFF"/>
              <w:right w:val="single" w:sz="8" w:space="0" w:color="FFFFFF"/>
            </w:tcBorders>
            <w:shd w:val="clear" w:color="auto" w:fill="auto"/>
            <w:noWrap/>
            <w:vAlign w:val="center"/>
            <w:hideMark/>
          </w:tcPr>
          <w:p w14:paraId="52619CFD"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05D07479"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134" w:type="dxa"/>
            <w:tcBorders>
              <w:top w:val="nil"/>
              <w:left w:val="nil"/>
              <w:bottom w:val="single" w:sz="8" w:space="0" w:color="FFFFFF"/>
              <w:right w:val="single" w:sz="8" w:space="0" w:color="FFFFFF"/>
            </w:tcBorders>
            <w:shd w:val="clear" w:color="auto" w:fill="auto"/>
            <w:vAlign w:val="center"/>
            <w:hideMark/>
          </w:tcPr>
          <w:p w14:paraId="29110247"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r>
      <w:tr w:rsidR="000071CC" w:rsidRPr="004345ED" w14:paraId="0D079984" w14:textId="77777777" w:rsidTr="000071CC">
        <w:trPr>
          <w:cantSplit/>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35952720" w14:textId="77777777" w:rsidR="000071CC" w:rsidRPr="004345ED" w:rsidRDefault="000071CC" w:rsidP="000071CC">
            <w:pPr>
              <w:spacing w:before="0"/>
              <w:jc w:val="left"/>
              <w:rPr>
                <w:rFonts w:cs="Arial"/>
                <w:color w:val="000000"/>
                <w:szCs w:val="20"/>
              </w:rPr>
            </w:pPr>
            <w:r w:rsidRPr="004345ED">
              <w:rPr>
                <w:rFonts w:cs="Arial"/>
                <w:color w:val="000000"/>
                <w:szCs w:val="20"/>
              </w:rPr>
              <w:t>South Australia</w:t>
            </w:r>
          </w:p>
        </w:tc>
        <w:tc>
          <w:tcPr>
            <w:tcW w:w="1701" w:type="dxa"/>
            <w:tcBorders>
              <w:top w:val="nil"/>
              <w:left w:val="nil"/>
              <w:bottom w:val="single" w:sz="8" w:space="0" w:color="FFFFFF"/>
              <w:right w:val="single" w:sz="8" w:space="0" w:color="FFFFFF"/>
            </w:tcBorders>
            <w:shd w:val="clear" w:color="000000" w:fill="EFD3D2"/>
            <w:noWrap/>
            <w:vAlign w:val="center"/>
            <w:hideMark/>
          </w:tcPr>
          <w:p w14:paraId="360ACAB2" w14:textId="32827C6C" w:rsidR="000071CC" w:rsidRPr="004345ED" w:rsidRDefault="008D4D84" w:rsidP="000071CC">
            <w:pPr>
              <w:spacing w:before="0"/>
              <w:jc w:val="right"/>
              <w:rPr>
                <w:rFonts w:cs="Arial"/>
                <w:color w:val="000000"/>
                <w:szCs w:val="20"/>
              </w:rPr>
            </w:pPr>
            <w:r w:rsidRPr="004345ED">
              <w:rPr>
                <w:rFonts w:cs="Arial"/>
                <w:color w:val="000000"/>
                <w:szCs w:val="20"/>
              </w:rPr>
              <w:t>-2.5</w:t>
            </w:r>
          </w:p>
        </w:tc>
        <w:tc>
          <w:tcPr>
            <w:tcW w:w="1701" w:type="dxa"/>
            <w:tcBorders>
              <w:top w:val="nil"/>
              <w:left w:val="nil"/>
              <w:bottom w:val="single" w:sz="8" w:space="0" w:color="FFFFFF"/>
              <w:right w:val="single" w:sz="8" w:space="0" w:color="FFFFFF"/>
            </w:tcBorders>
            <w:shd w:val="clear" w:color="000000" w:fill="EFD3D2"/>
            <w:noWrap/>
            <w:vAlign w:val="center"/>
            <w:hideMark/>
          </w:tcPr>
          <w:p w14:paraId="570EE0DC"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70D53BB9" w14:textId="01A3A5D0" w:rsidR="000071CC" w:rsidRPr="004345ED" w:rsidRDefault="000071CC" w:rsidP="000071CC">
            <w:pPr>
              <w:spacing w:before="0"/>
              <w:jc w:val="right"/>
              <w:rPr>
                <w:rFonts w:cs="Arial"/>
                <w:color w:val="000000"/>
                <w:szCs w:val="20"/>
              </w:rPr>
            </w:pPr>
            <w:r w:rsidRPr="004345ED">
              <w:rPr>
                <w:rFonts w:cs="Arial"/>
                <w:color w:val="000000"/>
                <w:szCs w:val="20"/>
              </w:rPr>
              <w:t>-3.</w:t>
            </w:r>
            <w:r w:rsidR="00F5236B" w:rsidRPr="004345ED">
              <w:rPr>
                <w:rFonts w:cs="Arial"/>
                <w:color w:val="000000"/>
                <w:szCs w:val="20"/>
              </w:rPr>
              <w:t>8</w:t>
            </w:r>
          </w:p>
        </w:tc>
        <w:tc>
          <w:tcPr>
            <w:tcW w:w="1134" w:type="dxa"/>
            <w:tcBorders>
              <w:top w:val="nil"/>
              <w:left w:val="nil"/>
              <w:bottom w:val="single" w:sz="8" w:space="0" w:color="FFFFFF"/>
              <w:right w:val="single" w:sz="8" w:space="0" w:color="FFFFFF"/>
            </w:tcBorders>
            <w:shd w:val="clear" w:color="000000" w:fill="EFD3D2"/>
            <w:vAlign w:val="center"/>
            <w:hideMark/>
          </w:tcPr>
          <w:p w14:paraId="3F612650"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r>
      <w:tr w:rsidR="000071CC" w:rsidRPr="004345ED" w14:paraId="568B0B87"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7799173F" w14:textId="77777777" w:rsidR="000071CC" w:rsidRPr="004345ED" w:rsidRDefault="000071CC" w:rsidP="000071CC">
            <w:pPr>
              <w:spacing w:before="0"/>
              <w:jc w:val="left"/>
              <w:rPr>
                <w:rFonts w:cs="Arial"/>
                <w:color w:val="000000"/>
                <w:szCs w:val="20"/>
              </w:rPr>
            </w:pPr>
            <w:r w:rsidRPr="004345ED">
              <w:rPr>
                <w:rFonts w:cs="Arial"/>
                <w:color w:val="000000"/>
                <w:szCs w:val="20"/>
              </w:rPr>
              <w:t>Tasmania</w:t>
            </w:r>
          </w:p>
        </w:tc>
        <w:tc>
          <w:tcPr>
            <w:tcW w:w="1701" w:type="dxa"/>
            <w:tcBorders>
              <w:top w:val="nil"/>
              <w:left w:val="nil"/>
              <w:bottom w:val="single" w:sz="8" w:space="0" w:color="FFFFFF"/>
              <w:right w:val="single" w:sz="8" w:space="0" w:color="FFFFFF"/>
            </w:tcBorders>
            <w:shd w:val="clear" w:color="auto" w:fill="auto"/>
            <w:noWrap/>
            <w:vAlign w:val="center"/>
            <w:hideMark/>
          </w:tcPr>
          <w:p w14:paraId="471DB1DD" w14:textId="449B3AF7" w:rsidR="000071CC" w:rsidRPr="004345ED" w:rsidRDefault="008D4D84" w:rsidP="000071CC">
            <w:pPr>
              <w:spacing w:before="0"/>
              <w:jc w:val="right"/>
              <w:rPr>
                <w:rFonts w:cs="Arial"/>
                <w:color w:val="000000"/>
                <w:szCs w:val="20"/>
              </w:rPr>
            </w:pPr>
            <w:r w:rsidRPr="004345ED">
              <w:rPr>
                <w:rFonts w:cs="Arial"/>
                <w:color w:val="000000"/>
                <w:szCs w:val="20"/>
              </w:rPr>
              <w:t>-2.8</w:t>
            </w:r>
          </w:p>
        </w:tc>
        <w:tc>
          <w:tcPr>
            <w:tcW w:w="1701" w:type="dxa"/>
            <w:tcBorders>
              <w:top w:val="nil"/>
              <w:left w:val="nil"/>
              <w:bottom w:val="single" w:sz="8" w:space="0" w:color="FFFFFF"/>
              <w:right w:val="single" w:sz="8" w:space="0" w:color="FFFFFF"/>
            </w:tcBorders>
            <w:shd w:val="clear" w:color="auto" w:fill="auto"/>
            <w:noWrap/>
            <w:vAlign w:val="center"/>
            <w:hideMark/>
          </w:tcPr>
          <w:p w14:paraId="593D4D5D" w14:textId="5D2CA432" w:rsidR="000071CC" w:rsidRPr="004345ED" w:rsidRDefault="005C64D3"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1FCDE013" w14:textId="77777777" w:rsidR="000071CC" w:rsidRPr="004345ED" w:rsidRDefault="000071CC" w:rsidP="000071CC">
            <w:pPr>
              <w:spacing w:before="0"/>
              <w:jc w:val="right"/>
              <w:rPr>
                <w:rFonts w:cs="Arial"/>
                <w:color w:val="000000"/>
                <w:szCs w:val="20"/>
              </w:rPr>
            </w:pPr>
            <w:r w:rsidRPr="004345ED">
              <w:rPr>
                <w:rFonts w:cs="Arial"/>
                <w:color w:val="000000"/>
                <w:szCs w:val="20"/>
              </w:rPr>
              <w:t>-2.5</w:t>
            </w:r>
          </w:p>
        </w:tc>
        <w:tc>
          <w:tcPr>
            <w:tcW w:w="1134" w:type="dxa"/>
            <w:tcBorders>
              <w:top w:val="nil"/>
              <w:left w:val="nil"/>
              <w:bottom w:val="single" w:sz="8" w:space="0" w:color="FFFFFF"/>
              <w:right w:val="single" w:sz="8" w:space="0" w:color="FFFFFF"/>
            </w:tcBorders>
            <w:shd w:val="clear" w:color="auto" w:fill="auto"/>
            <w:vAlign w:val="center"/>
            <w:hideMark/>
          </w:tcPr>
          <w:p w14:paraId="3819F2F9"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r>
      <w:tr w:rsidR="000071CC" w:rsidRPr="004345ED" w14:paraId="7AEBB156"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2F46286A" w14:textId="77777777" w:rsidR="000071CC" w:rsidRPr="004345ED" w:rsidRDefault="000071CC" w:rsidP="000071CC">
            <w:pPr>
              <w:spacing w:before="0"/>
              <w:jc w:val="left"/>
              <w:rPr>
                <w:rFonts w:cs="Arial"/>
                <w:color w:val="000000"/>
                <w:szCs w:val="20"/>
              </w:rPr>
            </w:pPr>
            <w:r w:rsidRPr="004345ED">
              <w:rPr>
                <w:rFonts w:cs="Arial"/>
                <w:color w:val="000000"/>
                <w:szCs w:val="20"/>
              </w:rPr>
              <w:t>Northern Territory</w:t>
            </w:r>
          </w:p>
        </w:tc>
        <w:tc>
          <w:tcPr>
            <w:tcW w:w="1701" w:type="dxa"/>
            <w:tcBorders>
              <w:top w:val="nil"/>
              <w:left w:val="nil"/>
              <w:bottom w:val="single" w:sz="8" w:space="0" w:color="FFFFFF"/>
              <w:right w:val="single" w:sz="8" w:space="0" w:color="FFFFFF"/>
            </w:tcBorders>
            <w:shd w:val="clear" w:color="000000" w:fill="EFD3D2"/>
            <w:noWrap/>
            <w:vAlign w:val="center"/>
            <w:hideMark/>
          </w:tcPr>
          <w:p w14:paraId="31893357" w14:textId="1F7034D8" w:rsidR="000071CC" w:rsidRPr="004345ED" w:rsidRDefault="000071CC" w:rsidP="000071CC">
            <w:pPr>
              <w:spacing w:before="0"/>
              <w:jc w:val="right"/>
              <w:rPr>
                <w:rFonts w:cs="Arial"/>
                <w:color w:val="000000"/>
                <w:szCs w:val="20"/>
              </w:rPr>
            </w:pPr>
            <w:r w:rsidRPr="004345ED">
              <w:rPr>
                <w:rFonts w:cs="Arial"/>
                <w:color w:val="000000"/>
                <w:szCs w:val="20"/>
              </w:rPr>
              <w:t>-</w:t>
            </w:r>
            <w:r w:rsidR="008D4D84" w:rsidRPr="004345ED">
              <w:rPr>
                <w:rFonts w:cs="Arial"/>
                <w:color w:val="000000"/>
                <w:szCs w:val="20"/>
              </w:rPr>
              <w:t>1.8</w:t>
            </w:r>
          </w:p>
        </w:tc>
        <w:tc>
          <w:tcPr>
            <w:tcW w:w="1701" w:type="dxa"/>
            <w:tcBorders>
              <w:top w:val="nil"/>
              <w:left w:val="nil"/>
              <w:bottom w:val="single" w:sz="8" w:space="0" w:color="FFFFFF"/>
              <w:right w:val="single" w:sz="8" w:space="0" w:color="FFFFFF"/>
            </w:tcBorders>
            <w:shd w:val="clear" w:color="000000" w:fill="EFD3D2"/>
            <w:noWrap/>
            <w:vAlign w:val="center"/>
            <w:hideMark/>
          </w:tcPr>
          <w:p w14:paraId="7783595C"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05080693"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134" w:type="dxa"/>
            <w:tcBorders>
              <w:top w:val="nil"/>
              <w:left w:val="nil"/>
              <w:bottom w:val="single" w:sz="8" w:space="0" w:color="FFFFFF"/>
              <w:right w:val="single" w:sz="8" w:space="0" w:color="FFFFFF"/>
            </w:tcBorders>
            <w:shd w:val="clear" w:color="000000" w:fill="EFD3D2"/>
            <w:vAlign w:val="center"/>
            <w:hideMark/>
          </w:tcPr>
          <w:p w14:paraId="1FF0FB76" w14:textId="44412636" w:rsidR="000071CC" w:rsidRPr="004345ED" w:rsidRDefault="00774F12" w:rsidP="000071CC">
            <w:pPr>
              <w:spacing w:before="0"/>
              <w:jc w:val="right"/>
              <w:rPr>
                <w:rFonts w:cs="Arial"/>
                <w:color w:val="000000"/>
                <w:szCs w:val="20"/>
              </w:rPr>
            </w:pPr>
            <w:r w:rsidRPr="004345ED">
              <w:rPr>
                <w:rFonts w:cs="Arial"/>
                <w:color w:val="000000"/>
                <w:szCs w:val="20"/>
              </w:rPr>
              <w:t>n/a</w:t>
            </w:r>
          </w:p>
        </w:tc>
      </w:tr>
      <w:tr w:rsidR="000071CC" w:rsidRPr="004345ED" w14:paraId="07E1132A"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3EFF176B" w14:textId="7B30A8EE" w:rsidR="000071CC" w:rsidRPr="004345ED" w:rsidRDefault="000071CC" w:rsidP="000071CC">
            <w:pPr>
              <w:spacing w:before="0"/>
              <w:jc w:val="left"/>
              <w:rPr>
                <w:rFonts w:cs="Arial"/>
                <w:color w:val="000000"/>
                <w:szCs w:val="20"/>
              </w:rPr>
            </w:pPr>
            <w:r w:rsidRPr="004345ED">
              <w:rPr>
                <w:rFonts w:cs="Arial"/>
                <w:color w:val="000000"/>
                <w:szCs w:val="20"/>
              </w:rPr>
              <w:t xml:space="preserve">Australian Capital Territory </w:t>
            </w:r>
            <w:r w:rsidR="00051D24" w:rsidRPr="004345ED">
              <w:rPr>
                <w:rFonts w:cs="Arial"/>
                <w:color w:val="000000"/>
                <w:szCs w:val="20"/>
              </w:rPr>
              <w:t>(</w:t>
            </w:r>
            <w:r w:rsidRPr="004345ED">
              <w:rPr>
                <w:rFonts w:cs="Arial"/>
                <w:color w:val="000000"/>
                <w:szCs w:val="20"/>
              </w:rPr>
              <w:t>Private</w:t>
            </w:r>
            <w:r w:rsidR="00051D24" w:rsidRPr="004345ED">
              <w:rPr>
                <w:rFonts w:cs="Arial"/>
                <w:color w:val="000000"/>
                <w:szCs w:val="20"/>
              </w:rPr>
              <w:t>)</w:t>
            </w:r>
          </w:p>
        </w:tc>
        <w:tc>
          <w:tcPr>
            <w:tcW w:w="1701" w:type="dxa"/>
            <w:tcBorders>
              <w:top w:val="nil"/>
              <w:left w:val="nil"/>
              <w:bottom w:val="single" w:sz="8" w:space="0" w:color="FFFFFF"/>
              <w:right w:val="single" w:sz="8" w:space="0" w:color="FFFFFF"/>
            </w:tcBorders>
            <w:shd w:val="clear" w:color="auto" w:fill="auto"/>
            <w:noWrap/>
            <w:vAlign w:val="center"/>
            <w:hideMark/>
          </w:tcPr>
          <w:p w14:paraId="5B32425B" w14:textId="27859505" w:rsidR="000071CC" w:rsidRPr="004345ED" w:rsidRDefault="000071CC" w:rsidP="000071CC">
            <w:pPr>
              <w:spacing w:before="0"/>
              <w:jc w:val="right"/>
              <w:rPr>
                <w:rFonts w:cs="Arial"/>
                <w:color w:val="000000"/>
                <w:szCs w:val="20"/>
              </w:rPr>
            </w:pPr>
            <w:r w:rsidRPr="004345ED">
              <w:rPr>
                <w:rFonts w:cs="Arial"/>
                <w:color w:val="000000"/>
                <w:szCs w:val="20"/>
              </w:rPr>
              <w:t>-</w:t>
            </w:r>
            <w:r w:rsidR="006B4AD9" w:rsidRPr="004345ED">
              <w:rPr>
                <w:rFonts w:cs="Arial"/>
                <w:color w:val="000000"/>
                <w:szCs w:val="20"/>
              </w:rPr>
              <w:t>2</w:t>
            </w:r>
            <w:r w:rsidRPr="004345ED">
              <w:rPr>
                <w:rFonts w:cs="Arial"/>
                <w:color w:val="000000"/>
                <w:szCs w:val="20"/>
              </w:rPr>
              <w:t>.</w:t>
            </w:r>
            <w:r w:rsidR="006B4AD9" w:rsidRPr="004345ED">
              <w:rPr>
                <w:rFonts w:cs="Arial"/>
                <w:color w:val="000000"/>
                <w:szCs w:val="20"/>
              </w:rPr>
              <w:t>2</w:t>
            </w:r>
          </w:p>
        </w:tc>
        <w:tc>
          <w:tcPr>
            <w:tcW w:w="1701" w:type="dxa"/>
            <w:tcBorders>
              <w:top w:val="nil"/>
              <w:left w:val="nil"/>
              <w:bottom w:val="single" w:sz="8" w:space="0" w:color="FFFFFF"/>
              <w:right w:val="single" w:sz="8" w:space="0" w:color="FFFFFF"/>
            </w:tcBorders>
            <w:shd w:val="clear" w:color="auto" w:fill="auto"/>
            <w:noWrap/>
            <w:vAlign w:val="center"/>
            <w:hideMark/>
          </w:tcPr>
          <w:p w14:paraId="322878C6"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55AE03FE"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134" w:type="dxa"/>
            <w:tcBorders>
              <w:top w:val="nil"/>
              <w:left w:val="nil"/>
              <w:bottom w:val="single" w:sz="8" w:space="0" w:color="FFFFFF"/>
              <w:right w:val="single" w:sz="8" w:space="0" w:color="FFFFFF"/>
            </w:tcBorders>
            <w:shd w:val="clear" w:color="auto" w:fill="auto"/>
            <w:vAlign w:val="center"/>
            <w:hideMark/>
          </w:tcPr>
          <w:p w14:paraId="0FDC0CBB" w14:textId="217C41BA" w:rsidR="000071CC" w:rsidRPr="004345ED" w:rsidRDefault="000071CC" w:rsidP="000071CC">
            <w:pPr>
              <w:spacing w:before="0"/>
              <w:jc w:val="right"/>
              <w:rPr>
                <w:rFonts w:cs="Arial"/>
                <w:color w:val="000000"/>
                <w:szCs w:val="20"/>
              </w:rPr>
            </w:pPr>
            <w:r w:rsidRPr="004345ED">
              <w:rPr>
                <w:rFonts w:cs="Arial"/>
                <w:color w:val="000000"/>
                <w:szCs w:val="20"/>
              </w:rPr>
              <w:t>-</w:t>
            </w:r>
            <w:r w:rsidR="00EA1210" w:rsidRPr="004345ED">
              <w:rPr>
                <w:rFonts w:cs="Arial"/>
                <w:color w:val="000000"/>
                <w:szCs w:val="20"/>
              </w:rPr>
              <w:t>6.</w:t>
            </w:r>
            <w:r w:rsidR="00774F12" w:rsidRPr="004345ED">
              <w:rPr>
                <w:rFonts w:cs="Arial"/>
                <w:color w:val="000000"/>
                <w:szCs w:val="20"/>
              </w:rPr>
              <w:t>8</w:t>
            </w:r>
          </w:p>
        </w:tc>
      </w:tr>
      <w:tr w:rsidR="000071CC" w:rsidRPr="004345ED" w14:paraId="3151EADE" w14:textId="77777777" w:rsidTr="000071CC">
        <w:trPr>
          <w:trHeight w:val="319"/>
        </w:trPr>
        <w:tc>
          <w:tcPr>
            <w:tcW w:w="3134" w:type="dxa"/>
            <w:tcBorders>
              <w:top w:val="nil"/>
              <w:left w:val="single" w:sz="8" w:space="0" w:color="FFFFFF"/>
              <w:bottom w:val="single" w:sz="8" w:space="0" w:color="FFFFFF"/>
              <w:right w:val="single" w:sz="8" w:space="0" w:color="FFFFFF"/>
            </w:tcBorders>
            <w:shd w:val="clear" w:color="000000" w:fill="EFD3D2"/>
            <w:noWrap/>
            <w:vAlign w:val="center"/>
            <w:hideMark/>
          </w:tcPr>
          <w:p w14:paraId="60A8F2B2" w14:textId="77777777" w:rsidR="000071CC" w:rsidRPr="004345ED" w:rsidRDefault="007F642E" w:rsidP="000071CC">
            <w:pPr>
              <w:spacing w:before="0"/>
              <w:jc w:val="left"/>
              <w:rPr>
                <w:rFonts w:cs="Arial"/>
                <w:color w:val="000000"/>
                <w:szCs w:val="20"/>
              </w:rPr>
            </w:pPr>
            <w:r w:rsidRPr="004345ED">
              <w:rPr>
                <w:rFonts w:cs="Arial"/>
                <w:color w:val="000000"/>
                <w:szCs w:val="20"/>
              </w:rPr>
              <w:t>Comcare</w:t>
            </w:r>
          </w:p>
        </w:tc>
        <w:tc>
          <w:tcPr>
            <w:tcW w:w="1701" w:type="dxa"/>
            <w:tcBorders>
              <w:top w:val="nil"/>
              <w:left w:val="nil"/>
              <w:bottom w:val="single" w:sz="8" w:space="0" w:color="FFFFFF"/>
              <w:right w:val="single" w:sz="8" w:space="0" w:color="FFFFFF"/>
            </w:tcBorders>
            <w:shd w:val="clear" w:color="000000" w:fill="EFD3D2"/>
            <w:noWrap/>
            <w:vAlign w:val="center"/>
            <w:hideMark/>
          </w:tcPr>
          <w:p w14:paraId="4C737898" w14:textId="7FC651B9" w:rsidR="000071CC" w:rsidRPr="004345ED" w:rsidRDefault="000071CC" w:rsidP="000071CC">
            <w:pPr>
              <w:spacing w:before="0"/>
              <w:jc w:val="right"/>
              <w:rPr>
                <w:rFonts w:cs="Arial"/>
                <w:color w:val="000000"/>
                <w:szCs w:val="20"/>
              </w:rPr>
            </w:pPr>
            <w:r w:rsidRPr="004345ED">
              <w:rPr>
                <w:rFonts w:cs="Arial"/>
                <w:color w:val="000000"/>
                <w:szCs w:val="20"/>
              </w:rPr>
              <w:t>-</w:t>
            </w:r>
            <w:r w:rsidR="00EA1210" w:rsidRPr="004345ED">
              <w:rPr>
                <w:rFonts w:cs="Arial"/>
                <w:color w:val="000000"/>
                <w:szCs w:val="20"/>
              </w:rPr>
              <w:t>2.0</w:t>
            </w:r>
          </w:p>
        </w:tc>
        <w:tc>
          <w:tcPr>
            <w:tcW w:w="1701" w:type="dxa"/>
            <w:tcBorders>
              <w:top w:val="nil"/>
              <w:left w:val="nil"/>
              <w:bottom w:val="single" w:sz="8" w:space="0" w:color="FFFFFF"/>
              <w:right w:val="single" w:sz="8" w:space="0" w:color="FFFFFF"/>
            </w:tcBorders>
            <w:shd w:val="clear" w:color="000000" w:fill="EFD3D2"/>
            <w:noWrap/>
            <w:vAlign w:val="center"/>
            <w:hideMark/>
          </w:tcPr>
          <w:p w14:paraId="04E64892"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000000" w:fill="EFD3D2"/>
            <w:noWrap/>
            <w:vAlign w:val="center"/>
            <w:hideMark/>
          </w:tcPr>
          <w:p w14:paraId="117ACB5B" w14:textId="77777777" w:rsidR="000071CC" w:rsidRPr="004345ED" w:rsidRDefault="000071CC" w:rsidP="000071CC">
            <w:pPr>
              <w:spacing w:before="0"/>
              <w:jc w:val="right"/>
              <w:rPr>
                <w:rFonts w:cs="Arial"/>
                <w:color w:val="000000"/>
                <w:szCs w:val="20"/>
              </w:rPr>
            </w:pPr>
            <w:r w:rsidRPr="004345ED">
              <w:rPr>
                <w:rFonts w:cs="Arial"/>
                <w:color w:val="000000"/>
                <w:szCs w:val="20"/>
              </w:rPr>
              <w:t>-4.5</w:t>
            </w:r>
          </w:p>
        </w:tc>
        <w:tc>
          <w:tcPr>
            <w:tcW w:w="1134" w:type="dxa"/>
            <w:tcBorders>
              <w:top w:val="nil"/>
              <w:left w:val="nil"/>
              <w:bottom w:val="single" w:sz="8" w:space="0" w:color="FFFFFF"/>
              <w:right w:val="single" w:sz="8" w:space="0" w:color="FFFFFF"/>
            </w:tcBorders>
            <w:shd w:val="clear" w:color="000000" w:fill="EFD3D2"/>
            <w:vAlign w:val="center"/>
            <w:hideMark/>
          </w:tcPr>
          <w:p w14:paraId="2ED80C05"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r>
      <w:tr w:rsidR="000071CC" w:rsidRPr="004345ED" w14:paraId="578F2299" w14:textId="77777777" w:rsidTr="00FD0834">
        <w:trPr>
          <w:cantSplit/>
          <w:trHeight w:val="319"/>
        </w:trPr>
        <w:tc>
          <w:tcPr>
            <w:tcW w:w="3134" w:type="dxa"/>
            <w:tcBorders>
              <w:top w:val="nil"/>
              <w:left w:val="single" w:sz="8" w:space="0" w:color="FFFFFF"/>
              <w:bottom w:val="single" w:sz="8" w:space="0" w:color="FFFFFF"/>
              <w:right w:val="single" w:sz="8" w:space="0" w:color="FFFFFF"/>
            </w:tcBorders>
            <w:shd w:val="clear" w:color="auto" w:fill="auto"/>
            <w:noWrap/>
            <w:vAlign w:val="center"/>
            <w:hideMark/>
          </w:tcPr>
          <w:p w14:paraId="1D4E1F03" w14:textId="77777777" w:rsidR="000071CC" w:rsidRPr="004345ED" w:rsidRDefault="000071CC" w:rsidP="000071CC">
            <w:pPr>
              <w:spacing w:before="0"/>
              <w:jc w:val="left"/>
              <w:rPr>
                <w:rFonts w:cs="Arial"/>
                <w:color w:val="000000"/>
                <w:szCs w:val="20"/>
              </w:rPr>
            </w:pPr>
            <w:r w:rsidRPr="004345ED">
              <w:rPr>
                <w:rFonts w:cs="Arial"/>
                <w:color w:val="000000"/>
                <w:szCs w:val="20"/>
              </w:rPr>
              <w:t>New Zealand</w:t>
            </w:r>
          </w:p>
        </w:tc>
        <w:tc>
          <w:tcPr>
            <w:tcW w:w="1701" w:type="dxa"/>
            <w:tcBorders>
              <w:top w:val="nil"/>
              <w:left w:val="nil"/>
              <w:bottom w:val="single" w:sz="8" w:space="0" w:color="FFFFFF"/>
              <w:right w:val="single" w:sz="8" w:space="0" w:color="FFFFFF"/>
            </w:tcBorders>
            <w:shd w:val="clear" w:color="auto" w:fill="auto"/>
            <w:noWrap/>
            <w:vAlign w:val="center"/>
            <w:hideMark/>
          </w:tcPr>
          <w:p w14:paraId="59086F8F"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33ACA701"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701" w:type="dxa"/>
            <w:tcBorders>
              <w:top w:val="nil"/>
              <w:left w:val="nil"/>
              <w:bottom w:val="single" w:sz="8" w:space="0" w:color="FFFFFF"/>
              <w:right w:val="single" w:sz="8" w:space="0" w:color="FFFFFF"/>
            </w:tcBorders>
            <w:shd w:val="clear" w:color="auto" w:fill="auto"/>
            <w:noWrap/>
            <w:vAlign w:val="center"/>
            <w:hideMark/>
          </w:tcPr>
          <w:p w14:paraId="018F93FB" w14:textId="77777777" w:rsidR="000071CC" w:rsidRPr="004345ED" w:rsidRDefault="000071CC" w:rsidP="000071CC">
            <w:pPr>
              <w:spacing w:before="0"/>
              <w:jc w:val="right"/>
              <w:rPr>
                <w:rFonts w:cs="Arial"/>
                <w:color w:val="000000"/>
                <w:szCs w:val="20"/>
              </w:rPr>
            </w:pPr>
            <w:r w:rsidRPr="004345ED">
              <w:rPr>
                <w:rFonts w:cs="Arial"/>
                <w:color w:val="000000"/>
                <w:szCs w:val="20"/>
              </w:rPr>
              <w:t>n/a</w:t>
            </w:r>
          </w:p>
        </w:tc>
        <w:tc>
          <w:tcPr>
            <w:tcW w:w="1134" w:type="dxa"/>
            <w:tcBorders>
              <w:top w:val="nil"/>
              <w:left w:val="nil"/>
              <w:bottom w:val="single" w:sz="8" w:space="0" w:color="FFFFFF"/>
              <w:right w:val="single" w:sz="8" w:space="0" w:color="FFFFFF"/>
            </w:tcBorders>
            <w:shd w:val="clear" w:color="auto" w:fill="auto"/>
            <w:vAlign w:val="center"/>
            <w:hideMark/>
          </w:tcPr>
          <w:p w14:paraId="7C2CA3A6" w14:textId="04211D2B" w:rsidR="000071CC" w:rsidRPr="004345ED" w:rsidRDefault="000071CC" w:rsidP="000071CC">
            <w:pPr>
              <w:spacing w:before="0"/>
              <w:jc w:val="right"/>
              <w:rPr>
                <w:rFonts w:cs="Arial"/>
                <w:color w:val="000000"/>
                <w:szCs w:val="20"/>
              </w:rPr>
            </w:pPr>
            <w:r w:rsidRPr="004345ED">
              <w:rPr>
                <w:rFonts w:cs="Arial"/>
                <w:color w:val="000000"/>
                <w:szCs w:val="20"/>
              </w:rPr>
              <w:t>-</w:t>
            </w:r>
            <w:r w:rsidR="00EA1210" w:rsidRPr="004345ED">
              <w:rPr>
                <w:rFonts w:cs="Arial"/>
                <w:color w:val="000000"/>
                <w:szCs w:val="20"/>
              </w:rPr>
              <w:t>6.</w:t>
            </w:r>
            <w:r w:rsidR="0012779C" w:rsidRPr="004345ED">
              <w:rPr>
                <w:rFonts w:cs="Arial"/>
                <w:color w:val="000000"/>
                <w:szCs w:val="20"/>
              </w:rPr>
              <w:t>8</w:t>
            </w:r>
          </w:p>
        </w:tc>
      </w:tr>
    </w:tbl>
    <w:p w14:paraId="7B3CBC33" w14:textId="5B2D2C79" w:rsidR="00CE00EC" w:rsidRDefault="00CE00EC" w:rsidP="000F6210">
      <w:pPr>
        <w:pStyle w:val="Heading2"/>
      </w:pPr>
      <w:bookmarkStart w:id="72" w:name="_Toc80289699"/>
      <w:r>
        <w:t>Effect of adjustment factors on premium rates</w:t>
      </w:r>
      <w:bookmarkEnd w:id="72"/>
    </w:p>
    <w:p w14:paraId="640CDFDE" w14:textId="77777777" w:rsidR="00CE00EC" w:rsidRDefault="00CE00EC" w:rsidP="009968C2">
      <w:pPr>
        <w:pStyle w:val="BodyJustified"/>
      </w:pPr>
      <w:r>
        <w:t xml:space="preserve">Appendix 1 – Table </w:t>
      </w:r>
      <w:r w:rsidR="009B71AF">
        <w:t>2</w:t>
      </w:r>
      <w:r>
        <w:t xml:space="preserve"> presents average premium rates with various adjustments to assist comparability. Each column in this table represents progressively adjusted premium rates as follows:</w:t>
      </w:r>
    </w:p>
    <w:p w14:paraId="5CF544DA" w14:textId="77777777" w:rsidR="00CE00EC" w:rsidRDefault="00CE00EC" w:rsidP="00CE00EC">
      <w:pPr>
        <w:pStyle w:val="BodyTextindented"/>
      </w:pPr>
      <w:r>
        <w:t xml:space="preserve">Column 1 – These data are average premium rates for insured employers only, calculated using the definition of remuneration as used by that jurisdiction, </w:t>
      </w:r>
      <w:proofErr w:type="gramStart"/>
      <w:r>
        <w:t>i.e.</w:t>
      </w:r>
      <w:proofErr w:type="gramEnd"/>
      <w:r>
        <w:t xml:space="preserve"> superannuation included where applicable. GST was excluded in all cases. Rates are applicable to the employer and medical excesses that apply in each jurisdiction and should not be compared. </w:t>
      </w:r>
    </w:p>
    <w:p w14:paraId="485F4D0A" w14:textId="77777777" w:rsidR="00CE00EC" w:rsidRDefault="00CE00EC" w:rsidP="00CE00EC">
      <w:pPr>
        <w:pStyle w:val="BodyTextindented"/>
      </w:pPr>
      <w:r>
        <w:t xml:space="preserve">Column 2 – These rates are average premium rates for the insured sector adjusted to include superannuation in the definition of remuneration. Estimates of superannuation were applied to Western Australia, </w:t>
      </w:r>
      <w:proofErr w:type="gramStart"/>
      <w:r>
        <w:t>Tasmania</w:t>
      </w:r>
      <w:proofErr w:type="gramEnd"/>
      <w:r>
        <w:t xml:space="preserve"> and the Northern Territory. All other jurisdictions were able to provide appropriate data. Data for New Zealand were also adjusted to include superannuation.</w:t>
      </w:r>
    </w:p>
    <w:p w14:paraId="0B1B5D6A" w14:textId="77777777" w:rsidR="00CE00EC" w:rsidRDefault="00CE00EC" w:rsidP="00CE00EC">
      <w:pPr>
        <w:pStyle w:val="BodyTextindented"/>
      </w:pPr>
      <w:r>
        <w:t xml:space="preserve">Column 3 – These rates are the average premium rates for each jurisdiction including both the insured and self-insured sectors before any adjustment factors are applied. </w:t>
      </w:r>
    </w:p>
    <w:p w14:paraId="33DB6AC0" w14:textId="77777777" w:rsidR="00CE00EC" w:rsidRDefault="00CE00EC" w:rsidP="00CE00EC">
      <w:pPr>
        <w:pStyle w:val="BodyTextindented"/>
      </w:pPr>
      <w:r>
        <w:t xml:space="preserve">Column 4 – These rates adjust the rates in column 3 to account for the different employer excesses that apply in each jurisdiction. The adjustment made to the data from the self-insured sector may be different to the adjustment applied to the premium paying sector due to the assumption that a nil employer excess applies to the self-insured sector. </w:t>
      </w:r>
    </w:p>
    <w:p w14:paraId="039B06EB" w14:textId="12A04F78" w:rsidR="00CE00EC" w:rsidRDefault="00CE00EC" w:rsidP="00CE00EC">
      <w:pPr>
        <w:pStyle w:val="BodyTextindented"/>
      </w:pPr>
      <w:r>
        <w:t>Column 5 – These rates further adjust the rates in column 4 to remove a component comparable to the cost of providing workers’ compensation coverage for journeys to and from work. These adjustments apply to</w:t>
      </w:r>
      <w:r w:rsidR="00252F70" w:rsidRPr="00252F70">
        <w:t xml:space="preserve"> Queensland and the Australian Capital Territory Private Scheme</w:t>
      </w:r>
      <w:r>
        <w:t xml:space="preserve"> and New Zealand where the coverage for these types of claims is </w:t>
      </w:r>
      <w:r w:rsidR="001F7767">
        <w:t xml:space="preserve">included in </w:t>
      </w:r>
      <w:r>
        <w:t>the workers’ compensation system.</w:t>
      </w:r>
    </w:p>
    <w:p w14:paraId="6D651D91" w14:textId="6797D555" w:rsidR="00CE00EC" w:rsidRPr="004345ED" w:rsidRDefault="00CE00EC" w:rsidP="00CB108E">
      <w:pPr>
        <w:pStyle w:val="SWATableheader"/>
        <w:rPr>
          <w:color w:val="00B050"/>
          <w:szCs w:val="20"/>
          <w:lang w:val="en-GB"/>
        </w:rPr>
      </w:pPr>
      <w:r w:rsidRPr="004345ED">
        <w:rPr>
          <w:szCs w:val="20"/>
          <w:lang w:val="en-GB"/>
        </w:rPr>
        <w:lastRenderedPageBreak/>
        <w:t xml:space="preserve">Appendix 1 – Table </w:t>
      </w:r>
      <w:r w:rsidR="009B71AF" w:rsidRPr="004345ED">
        <w:rPr>
          <w:szCs w:val="20"/>
          <w:lang w:val="en-GB"/>
        </w:rPr>
        <w:t>2</w:t>
      </w:r>
      <w:r w:rsidRPr="004345ED">
        <w:rPr>
          <w:szCs w:val="20"/>
          <w:lang w:val="en-GB"/>
        </w:rPr>
        <w:t xml:space="preserve">: Effect of adjustment factors on premium rates in </w:t>
      </w:r>
      <w:r w:rsidR="001576DC" w:rsidRPr="004345ED">
        <w:rPr>
          <w:szCs w:val="20"/>
          <w:lang w:val="en-GB"/>
        </w:rPr>
        <w:t>20</w:t>
      </w:r>
      <w:r w:rsidR="00165FD8" w:rsidRPr="004345ED">
        <w:rPr>
          <w:szCs w:val="20"/>
          <w:lang w:val="en-GB"/>
        </w:rPr>
        <w:t>2</w:t>
      </w:r>
      <w:r w:rsidR="00C16BBF" w:rsidRPr="004345ED">
        <w:rPr>
          <w:szCs w:val="20"/>
          <w:lang w:val="en-GB"/>
        </w:rPr>
        <w:t>1</w:t>
      </w:r>
      <w:r w:rsidRPr="004345ED">
        <w:rPr>
          <w:szCs w:val="20"/>
          <w:lang w:val="en-GB"/>
        </w:rPr>
        <w:t>–</w:t>
      </w:r>
      <w:r w:rsidR="009125A7" w:rsidRPr="004345ED">
        <w:rPr>
          <w:szCs w:val="20"/>
          <w:lang w:val="en-GB"/>
        </w:rPr>
        <w:t>2</w:t>
      </w:r>
      <w:r w:rsidR="00C16BBF" w:rsidRPr="004345ED">
        <w:rPr>
          <w:szCs w:val="20"/>
          <w:lang w:val="en-GB"/>
        </w:rPr>
        <w:t>2</w:t>
      </w:r>
      <w:r w:rsidR="00B70AB8" w:rsidRPr="004345ED">
        <w:rPr>
          <w:szCs w:val="20"/>
          <w:lang w:val="en-GB"/>
        </w:rPr>
        <w:t xml:space="preserve"> </w:t>
      </w:r>
    </w:p>
    <w:tbl>
      <w:tblPr>
        <w:tblW w:w="9513" w:type="dxa"/>
        <w:tblInd w:w="93" w:type="dxa"/>
        <w:tblBorders>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Caption w:val="Appendix 1 – Table 2: Effect of adjustment factors on premium rates in 2019–20 "/>
        <w:tblDescription w:val="This table contains effects of adjustment factors on premium rate values by Australian Jurisdictions and New Zealand."/>
      </w:tblPr>
      <w:tblGrid>
        <w:gridCol w:w="1457"/>
        <w:gridCol w:w="1559"/>
        <w:gridCol w:w="1819"/>
        <w:gridCol w:w="1559"/>
        <w:gridCol w:w="1559"/>
        <w:gridCol w:w="1560"/>
      </w:tblGrid>
      <w:tr w:rsidR="00FC3DB4" w:rsidRPr="004345ED" w14:paraId="6F451A84" w14:textId="77777777" w:rsidTr="00C13E49">
        <w:trPr>
          <w:cantSplit/>
          <w:trHeight w:val="680"/>
          <w:tblHeader/>
        </w:trPr>
        <w:tc>
          <w:tcPr>
            <w:tcW w:w="1457" w:type="dxa"/>
            <w:tcBorders>
              <w:top w:val="nil"/>
              <w:bottom w:val="nil"/>
            </w:tcBorders>
            <w:shd w:val="clear" w:color="000000" w:fill="AF1E2D"/>
            <w:vAlign w:val="center"/>
            <w:hideMark/>
          </w:tcPr>
          <w:p w14:paraId="5B2C265B" w14:textId="77777777" w:rsidR="007913A4" w:rsidRPr="004345ED" w:rsidRDefault="007913A4" w:rsidP="00FC3DB4">
            <w:pPr>
              <w:spacing w:before="0"/>
              <w:jc w:val="center"/>
              <w:rPr>
                <w:rFonts w:cs="Arial"/>
                <w:b/>
                <w:bCs/>
                <w:color w:val="FFFFFF"/>
                <w:szCs w:val="20"/>
              </w:rPr>
            </w:pPr>
            <w:r w:rsidRPr="004345ED">
              <w:rPr>
                <w:rFonts w:cs="Arial"/>
                <w:b/>
                <w:bCs/>
                <w:color w:val="FFFFFF"/>
                <w:szCs w:val="20"/>
              </w:rPr>
              <w:t>Jurisdiction</w:t>
            </w:r>
          </w:p>
        </w:tc>
        <w:tc>
          <w:tcPr>
            <w:tcW w:w="3378" w:type="dxa"/>
            <w:gridSpan w:val="2"/>
            <w:shd w:val="clear" w:color="000000" w:fill="AF1E2D"/>
            <w:vAlign w:val="center"/>
            <w:hideMark/>
          </w:tcPr>
          <w:p w14:paraId="47C85370" w14:textId="77777777" w:rsidR="007913A4" w:rsidRPr="004345ED" w:rsidRDefault="007913A4" w:rsidP="00FC3DB4">
            <w:pPr>
              <w:spacing w:before="0"/>
              <w:jc w:val="center"/>
              <w:rPr>
                <w:rFonts w:cs="Arial"/>
                <w:b/>
                <w:bCs/>
                <w:color w:val="FFFFFF"/>
                <w:szCs w:val="20"/>
              </w:rPr>
            </w:pPr>
            <w:r w:rsidRPr="004345ED">
              <w:rPr>
                <w:rFonts w:cs="Arial"/>
                <w:b/>
                <w:bCs/>
                <w:color w:val="FFFFFF"/>
                <w:szCs w:val="20"/>
              </w:rPr>
              <w:t>Average premium rates for premium paying sector</w:t>
            </w:r>
            <w:r w:rsidR="00E40EE4" w:rsidRPr="004345ED">
              <w:rPr>
                <w:rFonts w:cs="Arial"/>
                <w:b/>
                <w:bCs/>
                <w:color w:val="FFFFFF"/>
                <w:szCs w:val="20"/>
              </w:rPr>
              <w:t xml:space="preserve"> (%)</w:t>
            </w:r>
          </w:p>
        </w:tc>
        <w:tc>
          <w:tcPr>
            <w:tcW w:w="1559" w:type="dxa"/>
            <w:vMerge w:val="restart"/>
            <w:shd w:val="clear" w:color="000000" w:fill="AF1E2D"/>
            <w:vAlign w:val="center"/>
            <w:hideMark/>
          </w:tcPr>
          <w:p w14:paraId="6B35DC7B" w14:textId="77777777" w:rsidR="007913A4" w:rsidRPr="004345ED" w:rsidRDefault="007913A4" w:rsidP="00FC3DB4">
            <w:pPr>
              <w:spacing w:before="0"/>
              <w:jc w:val="center"/>
              <w:rPr>
                <w:rFonts w:cs="Arial"/>
                <w:b/>
                <w:bCs/>
                <w:color w:val="FFFFFF"/>
                <w:szCs w:val="20"/>
              </w:rPr>
            </w:pPr>
            <w:r w:rsidRPr="004345ED">
              <w:rPr>
                <w:rFonts w:cs="Arial"/>
                <w:b/>
                <w:bCs/>
                <w:color w:val="FFFFFF"/>
                <w:szCs w:val="20"/>
              </w:rPr>
              <w:t>Total</w:t>
            </w:r>
            <w:r w:rsidR="00FC3DB4" w:rsidRPr="004345ED">
              <w:rPr>
                <w:rFonts w:cs="Arial"/>
                <w:b/>
                <w:bCs/>
                <w:color w:val="FFFFFF"/>
                <w:szCs w:val="20"/>
                <w:vertAlign w:val="superscript"/>
              </w:rPr>
              <w:t>(a)</w:t>
            </w:r>
            <w:r w:rsidRPr="004345ED">
              <w:rPr>
                <w:rFonts w:cs="Arial"/>
                <w:b/>
                <w:bCs/>
                <w:color w:val="FFFFFF"/>
                <w:szCs w:val="20"/>
              </w:rPr>
              <w:t xml:space="preserve"> average premium rate</w:t>
            </w:r>
          </w:p>
          <w:p w14:paraId="0C585100" w14:textId="77777777" w:rsidR="00E40EE4" w:rsidRPr="004345ED" w:rsidRDefault="00E40EE4" w:rsidP="00FC3DB4">
            <w:pPr>
              <w:spacing w:before="0"/>
              <w:jc w:val="center"/>
              <w:rPr>
                <w:rFonts w:cs="Arial"/>
                <w:b/>
                <w:bCs/>
                <w:color w:val="FFFFFF"/>
                <w:szCs w:val="20"/>
              </w:rPr>
            </w:pPr>
            <w:r w:rsidRPr="004345ED">
              <w:rPr>
                <w:rFonts w:cs="Arial"/>
                <w:b/>
                <w:bCs/>
                <w:color w:val="FFFFFF"/>
                <w:szCs w:val="20"/>
              </w:rPr>
              <w:t>(%)</w:t>
            </w:r>
          </w:p>
        </w:tc>
        <w:tc>
          <w:tcPr>
            <w:tcW w:w="1559" w:type="dxa"/>
            <w:vMerge w:val="restart"/>
            <w:shd w:val="clear" w:color="000000" w:fill="AF1E2D"/>
            <w:vAlign w:val="center"/>
            <w:hideMark/>
          </w:tcPr>
          <w:p w14:paraId="33281949" w14:textId="77777777" w:rsidR="007913A4" w:rsidRPr="004345ED" w:rsidRDefault="007913A4" w:rsidP="00FC3DB4">
            <w:pPr>
              <w:spacing w:before="0"/>
              <w:jc w:val="center"/>
              <w:rPr>
                <w:rFonts w:cs="Arial"/>
                <w:b/>
                <w:bCs/>
                <w:color w:val="FFFFFF"/>
                <w:szCs w:val="20"/>
              </w:rPr>
            </w:pPr>
            <w:r w:rsidRPr="004345ED">
              <w:rPr>
                <w:rFonts w:cs="Arial"/>
                <w:b/>
                <w:bCs/>
                <w:color w:val="FFFFFF"/>
                <w:szCs w:val="20"/>
              </w:rPr>
              <w:t>Total</w:t>
            </w:r>
            <w:r w:rsidR="00FC3DB4" w:rsidRPr="004345ED">
              <w:rPr>
                <w:rFonts w:cs="Arial"/>
                <w:b/>
                <w:bCs/>
                <w:color w:val="FFFFFF"/>
                <w:szCs w:val="20"/>
                <w:vertAlign w:val="superscript"/>
              </w:rPr>
              <w:t>(a)</w:t>
            </w:r>
            <w:r w:rsidRPr="004345ED">
              <w:rPr>
                <w:rFonts w:cs="Arial"/>
                <w:b/>
                <w:bCs/>
                <w:color w:val="FFFFFF"/>
                <w:szCs w:val="20"/>
              </w:rPr>
              <w:t xml:space="preserve"> average premium rate adjusted for employer excess</w:t>
            </w:r>
            <w:r w:rsidR="00E40EE4" w:rsidRPr="004345ED">
              <w:rPr>
                <w:rFonts w:cs="Arial"/>
                <w:b/>
                <w:bCs/>
                <w:color w:val="FFFFFF"/>
                <w:szCs w:val="20"/>
              </w:rPr>
              <w:t xml:space="preserve"> (%)</w:t>
            </w:r>
          </w:p>
        </w:tc>
        <w:tc>
          <w:tcPr>
            <w:tcW w:w="1560" w:type="dxa"/>
            <w:vMerge w:val="restart"/>
            <w:shd w:val="clear" w:color="000000" w:fill="AF1E2D"/>
            <w:vAlign w:val="center"/>
            <w:hideMark/>
          </w:tcPr>
          <w:p w14:paraId="62EE6928" w14:textId="1DB9C0B8" w:rsidR="00E40EE4" w:rsidRPr="004345ED" w:rsidRDefault="00FC3DB4" w:rsidP="005809CA">
            <w:pPr>
              <w:spacing w:before="0"/>
              <w:jc w:val="center"/>
              <w:rPr>
                <w:rFonts w:cs="Arial"/>
                <w:b/>
                <w:bCs/>
                <w:color w:val="FFFFFF"/>
                <w:szCs w:val="20"/>
              </w:rPr>
            </w:pPr>
            <w:r w:rsidRPr="004345ED">
              <w:rPr>
                <w:rFonts w:cs="Arial"/>
                <w:b/>
                <w:bCs/>
                <w:color w:val="FFFFFF"/>
                <w:szCs w:val="20"/>
              </w:rPr>
              <w:t>T</w:t>
            </w:r>
            <w:r w:rsidR="007913A4" w:rsidRPr="004345ED">
              <w:rPr>
                <w:rFonts w:cs="Arial"/>
                <w:b/>
                <w:bCs/>
                <w:color w:val="FFFFFF"/>
                <w:szCs w:val="20"/>
              </w:rPr>
              <w:t>otal</w:t>
            </w:r>
            <w:r w:rsidRPr="004345ED">
              <w:rPr>
                <w:rFonts w:cs="Arial"/>
                <w:b/>
                <w:bCs/>
                <w:color w:val="FFFFFF"/>
                <w:szCs w:val="20"/>
                <w:vertAlign w:val="superscript"/>
              </w:rPr>
              <w:t>(a)</w:t>
            </w:r>
            <w:r w:rsidR="007913A4" w:rsidRPr="004345ED">
              <w:rPr>
                <w:rFonts w:cs="Arial"/>
                <w:b/>
                <w:bCs/>
                <w:color w:val="FFFFFF"/>
                <w:szCs w:val="20"/>
              </w:rPr>
              <w:t xml:space="preserve"> average premium rate adjusted for employer excess and journey claims</w:t>
            </w:r>
            <w:r w:rsidR="005809CA">
              <w:rPr>
                <w:rFonts w:cs="Arial"/>
                <w:b/>
                <w:bCs/>
                <w:color w:val="FFFFFF"/>
                <w:szCs w:val="20"/>
              </w:rPr>
              <w:t xml:space="preserve"> </w:t>
            </w:r>
            <w:r w:rsidR="00E40EE4" w:rsidRPr="004345ED">
              <w:rPr>
                <w:rFonts w:cs="Arial"/>
                <w:b/>
                <w:bCs/>
                <w:color w:val="FFFFFF"/>
                <w:szCs w:val="20"/>
              </w:rPr>
              <w:t>(%)</w:t>
            </w:r>
          </w:p>
        </w:tc>
      </w:tr>
      <w:tr w:rsidR="00FC3DB4" w:rsidRPr="004345ED" w14:paraId="02814D32" w14:textId="77777777" w:rsidTr="00C13E49">
        <w:trPr>
          <w:trHeight w:val="737"/>
          <w:tblHeader/>
        </w:trPr>
        <w:tc>
          <w:tcPr>
            <w:tcW w:w="1457" w:type="dxa"/>
            <w:tcBorders>
              <w:top w:val="nil"/>
            </w:tcBorders>
            <w:shd w:val="clear" w:color="000000" w:fill="AF1E2D"/>
            <w:vAlign w:val="center"/>
            <w:hideMark/>
          </w:tcPr>
          <w:p w14:paraId="491724E0" w14:textId="77777777" w:rsidR="007913A4" w:rsidRPr="004345ED" w:rsidRDefault="007913A4" w:rsidP="00FC3DB4">
            <w:pPr>
              <w:spacing w:before="0"/>
              <w:jc w:val="center"/>
              <w:rPr>
                <w:rFonts w:cs="Arial"/>
                <w:b/>
                <w:bCs/>
                <w:color w:val="FFFFFF"/>
                <w:szCs w:val="20"/>
              </w:rPr>
            </w:pPr>
          </w:p>
        </w:tc>
        <w:tc>
          <w:tcPr>
            <w:tcW w:w="1559" w:type="dxa"/>
            <w:shd w:val="clear" w:color="000000" w:fill="AF1E2D"/>
            <w:vAlign w:val="center"/>
            <w:hideMark/>
          </w:tcPr>
          <w:p w14:paraId="17EE8702" w14:textId="77777777" w:rsidR="007913A4" w:rsidRPr="004345ED" w:rsidRDefault="007913A4" w:rsidP="00FC3DB4">
            <w:pPr>
              <w:spacing w:before="0"/>
              <w:jc w:val="center"/>
              <w:rPr>
                <w:rFonts w:cs="Arial"/>
                <w:b/>
                <w:bCs/>
                <w:color w:val="FFFFFF"/>
                <w:szCs w:val="20"/>
              </w:rPr>
            </w:pPr>
            <w:r w:rsidRPr="004345ED">
              <w:rPr>
                <w:rFonts w:cs="Arial"/>
                <w:b/>
                <w:bCs/>
                <w:color w:val="FFFFFF"/>
                <w:szCs w:val="20"/>
              </w:rPr>
              <w:t>Unadjusted</w:t>
            </w:r>
          </w:p>
        </w:tc>
        <w:tc>
          <w:tcPr>
            <w:tcW w:w="1819" w:type="dxa"/>
            <w:shd w:val="clear" w:color="000000" w:fill="AF1E2D"/>
            <w:vAlign w:val="center"/>
            <w:hideMark/>
          </w:tcPr>
          <w:p w14:paraId="34BE2534" w14:textId="77777777" w:rsidR="007913A4" w:rsidRPr="004345ED" w:rsidRDefault="007913A4" w:rsidP="00FC3DB4">
            <w:pPr>
              <w:spacing w:before="0"/>
              <w:jc w:val="center"/>
              <w:rPr>
                <w:rFonts w:cs="Arial"/>
                <w:b/>
                <w:bCs/>
                <w:color w:val="FFFFFF"/>
                <w:szCs w:val="20"/>
              </w:rPr>
            </w:pPr>
            <w:r w:rsidRPr="004345ED">
              <w:rPr>
                <w:rFonts w:cs="Arial"/>
                <w:b/>
                <w:bCs/>
                <w:color w:val="FFFFFF"/>
                <w:szCs w:val="20"/>
              </w:rPr>
              <w:t>Adjusted to include superannuation</w:t>
            </w:r>
          </w:p>
        </w:tc>
        <w:tc>
          <w:tcPr>
            <w:tcW w:w="1559" w:type="dxa"/>
            <w:vMerge/>
            <w:vAlign w:val="center"/>
            <w:hideMark/>
          </w:tcPr>
          <w:p w14:paraId="7DA60EAF" w14:textId="77777777" w:rsidR="007913A4" w:rsidRPr="004345ED" w:rsidRDefault="007913A4" w:rsidP="00FC3DB4">
            <w:pPr>
              <w:spacing w:before="0"/>
              <w:jc w:val="center"/>
              <w:rPr>
                <w:rFonts w:cs="Arial"/>
                <w:b/>
                <w:bCs/>
                <w:color w:val="FFFFFF"/>
                <w:szCs w:val="20"/>
              </w:rPr>
            </w:pPr>
          </w:p>
        </w:tc>
        <w:tc>
          <w:tcPr>
            <w:tcW w:w="1559" w:type="dxa"/>
            <w:vMerge/>
            <w:vAlign w:val="center"/>
            <w:hideMark/>
          </w:tcPr>
          <w:p w14:paraId="668E44C3" w14:textId="77777777" w:rsidR="007913A4" w:rsidRPr="004345ED" w:rsidRDefault="007913A4" w:rsidP="00FC3DB4">
            <w:pPr>
              <w:spacing w:before="0"/>
              <w:jc w:val="center"/>
              <w:rPr>
                <w:rFonts w:cs="Arial"/>
                <w:b/>
                <w:bCs/>
                <w:color w:val="FFFFFF"/>
                <w:szCs w:val="20"/>
              </w:rPr>
            </w:pPr>
          </w:p>
        </w:tc>
        <w:tc>
          <w:tcPr>
            <w:tcW w:w="1560" w:type="dxa"/>
            <w:vMerge/>
            <w:vAlign w:val="center"/>
            <w:hideMark/>
          </w:tcPr>
          <w:p w14:paraId="7AF0C9F9" w14:textId="77777777" w:rsidR="007913A4" w:rsidRPr="004345ED" w:rsidRDefault="007913A4" w:rsidP="00FC3DB4">
            <w:pPr>
              <w:spacing w:before="0"/>
              <w:jc w:val="center"/>
              <w:rPr>
                <w:rFonts w:cs="Arial"/>
                <w:b/>
                <w:bCs/>
                <w:color w:val="FFFFFF"/>
                <w:szCs w:val="20"/>
              </w:rPr>
            </w:pPr>
          </w:p>
        </w:tc>
      </w:tr>
      <w:tr w:rsidR="00DF7579" w:rsidRPr="004345ED" w14:paraId="249BCD8D" w14:textId="77777777" w:rsidTr="00C13E49">
        <w:trPr>
          <w:trHeight w:val="439"/>
        </w:trPr>
        <w:tc>
          <w:tcPr>
            <w:tcW w:w="1457" w:type="dxa"/>
            <w:shd w:val="clear" w:color="auto" w:fill="808080" w:themeFill="background1" w:themeFillShade="80"/>
            <w:noWrap/>
            <w:vAlign w:val="center"/>
            <w:hideMark/>
          </w:tcPr>
          <w:p w14:paraId="357B34D5" w14:textId="77777777" w:rsidR="007913A4" w:rsidRPr="004345ED" w:rsidRDefault="007913A4" w:rsidP="00FC3DB4">
            <w:pPr>
              <w:spacing w:before="0"/>
              <w:jc w:val="center"/>
              <w:rPr>
                <w:rFonts w:cs="Arial"/>
                <w:b/>
                <w:color w:val="FFFFFF" w:themeColor="background1"/>
                <w:szCs w:val="20"/>
              </w:rPr>
            </w:pPr>
          </w:p>
        </w:tc>
        <w:tc>
          <w:tcPr>
            <w:tcW w:w="1559" w:type="dxa"/>
            <w:shd w:val="clear" w:color="auto" w:fill="808080" w:themeFill="background1" w:themeFillShade="80"/>
            <w:noWrap/>
            <w:vAlign w:val="center"/>
            <w:hideMark/>
          </w:tcPr>
          <w:p w14:paraId="52A695AA" w14:textId="77777777" w:rsidR="007913A4" w:rsidRPr="004345ED" w:rsidRDefault="007913A4" w:rsidP="00FC3DB4">
            <w:pPr>
              <w:spacing w:before="0"/>
              <w:jc w:val="center"/>
              <w:rPr>
                <w:rFonts w:cs="Arial"/>
                <w:b/>
                <w:color w:val="FFFFFF" w:themeColor="background1"/>
                <w:szCs w:val="20"/>
              </w:rPr>
            </w:pPr>
            <w:r w:rsidRPr="004345ED">
              <w:rPr>
                <w:rFonts w:cs="Arial"/>
                <w:b/>
                <w:color w:val="FFFFFF" w:themeColor="background1"/>
                <w:szCs w:val="20"/>
              </w:rPr>
              <w:t>1</w:t>
            </w:r>
          </w:p>
        </w:tc>
        <w:tc>
          <w:tcPr>
            <w:tcW w:w="1819" w:type="dxa"/>
            <w:shd w:val="clear" w:color="auto" w:fill="808080" w:themeFill="background1" w:themeFillShade="80"/>
            <w:noWrap/>
            <w:vAlign w:val="center"/>
            <w:hideMark/>
          </w:tcPr>
          <w:p w14:paraId="5BC873C5" w14:textId="77777777" w:rsidR="007913A4" w:rsidRPr="004345ED" w:rsidRDefault="007913A4" w:rsidP="00FC3DB4">
            <w:pPr>
              <w:spacing w:before="0"/>
              <w:jc w:val="center"/>
              <w:rPr>
                <w:rFonts w:cs="Arial"/>
                <w:b/>
                <w:color w:val="FFFFFF" w:themeColor="background1"/>
                <w:szCs w:val="20"/>
              </w:rPr>
            </w:pPr>
            <w:r w:rsidRPr="004345ED">
              <w:rPr>
                <w:rFonts w:cs="Arial"/>
                <w:b/>
                <w:color w:val="FFFFFF" w:themeColor="background1"/>
                <w:szCs w:val="20"/>
              </w:rPr>
              <w:t>2</w:t>
            </w:r>
          </w:p>
        </w:tc>
        <w:tc>
          <w:tcPr>
            <w:tcW w:w="1559" w:type="dxa"/>
            <w:shd w:val="clear" w:color="auto" w:fill="808080" w:themeFill="background1" w:themeFillShade="80"/>
            <w:noWrap/>
            <w:vAlign w:val="center"/>
            <w:hideMark/>
          </w:tcPr>
          <w:p w14:paraId="340E44AD" w14:textId="77777777" w:rsidR="007913A4" w:rsidRPr="004345ED" w:rsidRDefault="007913A4" w:rsidP="00FC3DB4">
            <w:pPr>
              <w:spacing w:before="0"/>
              <w:jc w:val="center"/>
              <w:rPr>
                <w:rFonts w:cs="Arial"/>
                <w:b/>
                <w:color w:val="FFFFFF" w:themeColor="background1"/>
                <w:szCs w:val="20"/>
              </w:rPr>
            </w:pPr>
            <w:r w:rsidRPr="004345ED">
              <w:rPr>
                <w:rFonts w:cs="Arial"/>
                <w:b/>
                <w:color w:val="FFFFFF" w:themeColor="background1"/>
                <w:szCs w:val="20"/>
              </w:rPr>
              <w:t>3</w:t>
            </w:r>
          </w:p>
        </w:tc>
        <w:tc>
          <w:tcPr>
            <w:tcW w:w="1559" w:type="dxa"/>
            <w:shd w:val="clear" w:color="auto" w:fill="808080" w:themeFill="background1" w:themeFillShade="80"/>
            <w:noWrap/>
            <w:vAlign w:val="center"/>
            <w:hideMark/>
          </w:tcPr>
          <w:p w14:paraId="226D8135" w14:textId="77777777" w:rsidR="007913A4" w:rsidRPr="004345ED" w:rsidRDefault="007913A4" w:rsidP="00FC3DB4">
            <w:pPr>
              <w:spacing w:before="0"/>
              <w:jc w:val="center"/>
              <w:rPr>
                <w:rFonts w:cs="Arial"/>
                <w:b/>
                <w:color w:val="FFFFFF" w:themeColor="background1"/>
                <w:szCs w:val="20"/>
              </w:rPr>
            </w:pPr>
            <w:r w:rsidRPr="004345ED">
              <w:rPr>
                <w:rFonts w:cs="Arial"/>
                <w:b/>
                <w:color w:val="FFFFFF" w:themeColor="background1"/>
                <w:szCs w:val="20"/>
              </w:rPr>
              <w:t>4</w:t>
            </w:r>
          </w:p>
        </w:tc>
        <w:tc>
          <w:tcPr>
            <w:tcW w:w="1560" w:type="dxa"/>
            <w:shd w:val="clear" w:color="auto" w:fill="808080" w:themeFill="background1" w:themeFillShade="80"/>
            <w:noWrap/>
            <w:vAlign w:val="center"/>
            <w:hideMark/>
          </w:tcPr>
          <w:p w14:paraId="5E02985B" w14:textId="77777777" w:rsidR="007913A4" w:rsidRPr="004345ED" w:rsidRDefault="007913A4" w:rsidP="00FC3DB4">
            <w:pPr>
              <w:spacing w:before="0"/>
              <w:jc w:val="center"/>
              <w:rPr>
                <w:rFonts w:cs="Arial"/>
                <w:b/>
                <w:color w:val="FFFFFF" w:themeColor="background1"/>
                <w:szCs w:val="20"/>
              </w:rPr>
            </w:pPr>
            <w:r w:rsidRPr="004345ED">
              <w:rPr>
                <w:rFonts w:cs="Arial"/>
                <w:b/>
                <w:color w:val="FFFFFF" w:themeColor="background1"/>
                <w:szCs w:val="20"/>
              </w:rPr>
              <w:t>5</w:t>
            </w:r>
          </w:p>
        </w:tc>
      </w:tr>
      <w:tr w:rsidR="00C16BBF" w:rsidRPr="004345ED" w14:paraId="27AE39FA" w14:textId="77777777" w:rsidTr="00C13E49">
        <w:trPr>
          <w:trHeight w:val="439"/>
        </w:trPr>
        <w:tc>
          <w:tcPr>
            <w:tcW w:w="1457" w:type="dxa"/>
            <w:shd w:val="clear" w:color="auto" w:fill="auto"/>
            <w:noWrap/>
            <w:vAlign w:val="center"/>
            <w:hideMark/>
          </w:tcPr>
          <w:p w14:paraId="082962AF" w14:textId="77777777" w:rsidR="00C16BBF" w:rsidRPr="004345ED" w:rsidRDefault="00C16BBF" w:rsidP="00C16BBF">
            <w:pPr>
              <w:spacing w:before="0"/>
              <w:jc w:val="left"/>
              <w:rPr>
                <w:rFonts w:cs="Arial"/>
                <w:color w:val="000000"/>
                <w:szCs w:val="20"/>
                <w:vertAlign w:val="superscript"/>
              </w:rPr>
            </w:pPr>
            <w:r w:rsidRPr="004345ED">
              <w:rPr>
                <w:rFonts w:cs="Arial"/>
                <w:color w:val="000000"/>
                <w:szCs w:val="20"/>
              </w:rPr>
              <w:t>NSW</w:t>
            </w:r>
            <w:r w:rsidRPr="004345ED">
              <w:rPr>
                <w:rFonts w:cs="Arial"/>
                <w:color w:val="000000"/>
                <w:szCs w:val="20"/>
                <w:vertAlign w:val="superscript"/>
              </w:rPr>
              <w:t>(b)</w:t>
            </w:r>
          </w:p>
        </w:tc>
        <w:tc>
          <w:tcPr>
            <w:tcW w:w="1559" w:type="dxa"/>
            <w:shd w:val="clear" w:color="auto" w:fill="auto"/>
            <w:noWrap/>
            <w:vAlign w:val="center"/>
          </w:tcPr>
          <w:p w14:paraId="36BB797D" w14:textId="721BD071" w:rsidR="00C16BBF" w:rsidRPr="004345ED" w:rsidRDefault="00C16BBF" w:rsidP="00C16BBF">
            <w:pPr>
              <w:spacing w:before="0"/>
              <w:jc w:val="right"/>
              <w:rPr>
                <w:rFonts w:cs="Arial"/>
                <w:color w:val="000000"/>
                <w:szCs w:val="20"/>
              </w:rPr>
            </w:pPr>
            <w:r w:rsidRPr="004345ED">
              <w:rPr>
                <w:rFonts w:cs="Arial"/>
                <w:szCs w:val="20"/>
              </w:rPr>
              <w:t>1.36</w:t>
            </w:r>
          </w:p>
        </w:tc>
        <w:tc>
          <w:tcPr>
            <w:tcW w:w="1819" w:type="dxa"/>
            <w:shd w:val="clear" w:color="auto" w:fill="auto"/>
            <w:noWrap/>
            <w:vAlign w:val="center"/>
          </w:tcPr>
          <w:p w14:paraId="513086CD" w14:textId="3018693A" w:rsidR="00C16BBF" w:rsidRPr="004345ED" w:rsidRDefault="00C16BBF" w:rsidP="00C16BBF">
            <w:pPr>
              <w:spacing w:before="0"/>
              <w:jc w:val="right"/>
              <w:rPr>
                <w:rFonts w:cs="Arial"/>
                <w:color w:val="000000"/>
                <w:szCs w:val="20"/>
              </w:rPr>
            </w:pPr>
            <w:r w:rsidRPr="004345ED">
              <w:rPr>
                <w:rFonts w:cs="Arial"/>
                <w:szCs w:val="20"/>
              </w:rPr>
              <w:t>1.36</w:t>
            </w:r>
          </w:p>
        </w:tc>
        <w:tc>
          <w:tcPr>
            <w:tcW w:w="1559" w:type="dxa"/>
            <w:shd w:val="clear" w:color="auto" w:fill="auto"/>
            <w:noWrap/>
            <w:vAlign w:val="center"/>
          </w:tcPr>
          <w:p w14:paraId="4DB050DF" w14:textId="33899862" w:rsidR="00C16BBF" w:rsidRPr="004345ED" w:rsidRDefault="00C16BBF" w:rsidP="00C16BBF">
            <w:pPr>
              <w:spacing w:before="0"/>
              <w:jc w:val="right"/>
              <w:rPr>
                <w:rFonts w:cs="Arial"/>
                <w:color w:val="000000"/>
                <w:szCs w:val="20"/>
              </w:rPr>
            </w:pPr>
            <w:r w:rsidRPr="004345ED">
              <w:rPr>
                <w:rFonts w:cs="Arial"/>
                <w:szCs w:val="20"/>
              </w:rPr>
              <w:t>1.49</w:t>
            </w:r>
          </w:p>
        </w:tc>
        <w:tc>
          <w:tcPr>
            <w:tcW w:w="1559" w:type="dxa"/>
            <w:shd w:val="clear" w:color="auto" w:fill="auto"/>
            <w:noWrap/>
            <w:vAlign w:val="center"/>
          </w:tcPr>
          <w:p w14:paraId="001B5228" w14:textId="40A7B7ED" w:rsidR="00C16BBF" w:rsidRPr="004345ED" w:rsidRDefault="00C16BBF" w:rsidP="00C16BBF">
            <w:pPr>
              <w:spacing w:before="0"/>
              <w:jc w:val="right"/>
              <w:rPr>
                <w:rFonts w:cs="Arial"/>
                <w:color w:val="000000"/>
                <w:szCs w:val="20"/>
              </w:rPr>
            </w:pPr>
            <w:r w:rsidRPr="004345ED">
              <w:rPr>
                <w:rFonts w:cs="Arial"/>
                <w:szCs w:val="20"/>
              </w:rPr>
              <w:t>1.45</w:t>
            </w:r>
          </w:p>
        </w:tc>
        <w:tc>
          <w:tcPr>
            <w:tcW w:w="1560" w:type="dxa"/>
            <w:shd w:val="clear" w:color="auto" w:fill="auto"/>
            <w:noWrap/>
            <w:vAlign w:val="center"/>
            <w:hideMark/>
          </w:tcPr>
          <w:p w14:paraId="332B8586" w14:textId="7D47CE25" w:rsidR="00C16BBF" w:rsidRPr="004345ED" w:rsidRDefault="00C16BBF" w:rsidP="00C16BBF">
            <w:pPr>
              <w:spacing w:before="0"/>
              <w:jc w:val="right"/>
              <w:rPr>
                <w:rFonts w:cs="Arial"/>
                <w:color w:val="000000"/>
                <w:szCs w:val="20"/>
              </w:rPr>
            </w:pPr>
            <w:r w:rsidRPr="004345ED">
              <w:rPr>
                <w:rFonts w:cs="Arial"/>
                <w:szCs w:val="20"/>
              </w:rPr>
              <w:t>1.45</w:t>
            </w:r>
          </w:p>
        </w:tc>
      </w:tr>
      <w:tr w:rsidR="00C16BBF" w:rsidRPr="004345ED" w14:paraId="0D5D8FAA" w14:textId="77777777" w:rsidTr="00C13E49">
        <w:trPr>
          <w:trHeight w:val="439"/>
        </w:trPr>
        <w:tc>
          <w:tcPr>
            <w:tcW w:w="1457" w:type="dxa"/>
            <w:shd w:val="clear" w:color="000000" w:fill="EFD3D2"/>
            <w:noWrap/>
            <w:vAlign w:val="center"/>
            <w:hideMark/>
          </w:tcPr>
          <w:p w14:paraId="61F2FAF1" w14:textId="77777777" w:rsidR="00C16BBF" w:rsidRPr="004345ED" w:rsidRDefault="00C16BBF" w:rsidP="00C16BBF">
            <w:pPr>
              <w:spacing w:before="0"/>
              <w:jc w:val="left"/>
              <w:rPr>
                <w:rFonts w:cs="Arial"/>
                <w:color w:val="000000"/>
                <w:szCs w:val="20"/>
              </w:rPr>
            </w:pPr>
            <w:r w:rsidRPr="004345ED">
              <w:rPr>
                <w:rFonts w:cs="Arial"/>
                <w:color w:val="000000"/>
                <w:szCs w:val="20"/>
              </w:rPr>
              <w:t>Vic</w:t>
            </w:r>
          </w:p>
        </w:tc>
        <w:tc>
          <w:tcPr>
            <w:tcW w:w="1559" w:type="dxa"/>
            <w:shd w:val="clear" w:color="000000" w:fill="EFD3D2"/>
            <w:noWrap/>
            <w:vAlign w:val="center"/>
          </w:tcPr>
          <w:p w14:paraId="4191E88F" w14:textId="46BC537B" w:rsidR="00C16BBF" w:rsidRPr="004345ED" w:rsidRDefault="00C16BBF" w:rsidP="00C16BBF">
            <w:pPr>
              <w:spacing w:before="0"/>
              <w:jc w:val="right"/>
              <w:rPr>
                <w:rFonts w:cs="Arial"/>
                <w:color w:val="000000"/>
                <w:szCs w:val="20"/>
              </w:rPr>
            </w:pPr>
            <w:r w:rsidRPr="004345ED">
              <w:rPr>
                <w:rFonts w:cs="Arial"/>
                <w:szCs w:val="20"/>
              </w:rPr>
              <w:t>1.31</w:t>
            </w:r>
          </w:p>
        </w:tc>
        <w:tc>
          <w:tcPr>
            <w:tcW w:w="1819" w:type="dxa"/>
            <w:shd w:val="clear" w:color="000000" w:fill="EFD3D2"/>
            <w:noWrap/>
            <w:vAlign w:val="center"/>
          </w:tcPr>
          <w:p w14:paraId="15939D34" w14:textId="41DB8135" w:rsidR="00C16BBF" w:rsidRPr="004345ED" w:rsidRDefault="00C16BBF" w:rsidP="00C16BBF">
            <w:pPr>
              <w:spacing w:before="0"/>
              <w:jc w:val="right"/>
              <w:rPr>
                <w:rFonts w:cs="Arial"/>
                <w:color w:val="000000"/>
                <w:szCs w:val="20"/>
              </w:rPr>
            </w:pPr>
            <w:r w:rsidRPr="004345ED">
              <w:rPr>
                <w:rFonts w:cs="Arial"/>
                <w:szCs w:val="20"/>
              </w:rPr>
              <w:t>1.31</w:t>
            </w:r>
          </w:p>
        </w:tc>
        <w:tc>
          <w:tcPr>
            <w:tcW w:w="1559" w:type="dxa"/>
            <w:shd w:val="clear" w:color="000000" w:fill="EFD3D2"/>
            <w:noWrap/>
            <w:vAlign w:val="center"/>
          </w:tcPr>
          <w:p w14:paraId="5B0292E7" w14:textId="1CF89AD5" w:rsidR="00C16BBF" w:rsidRPr="004345ED" w:rsidRDefault="00C16BBF" w:rsidP="00C16BBF">
            <w:pPr>
              <w:spacing w:before="0"/>
              <w:jc w:val="right"/>
              <w:rPr>
                <w:rFonts w:cs="Arial"/>
                <w:color w:val="000000"/>
                <w:szCs w:val="20"/>
              </w:rPr>
            </w:pPr>
            <w:r w:rsidRPr="004345ED">
              <w:rPr>
                <w:rFonts w:cs="Arial"/>
                <w:szCs w:val="20"/>
              </w:rPr>
              <w:t>1.27</w:t>
            </w:r>
          </w:p>
        </w:tc>
        <w:tc>
          <w:tcPr>
            <w:tcW w:w="1559" w:type="dxa"/>
            <w:shd w:val="clear" w:color="000000" w:fill="EFD3D2"/>
            <w:noWrap/>
            <w:vAlign w:val="center"/>
          </w:tcPr>
          <w:p w14:paraId="0CCA9EE8" w14:textId="0858A949" w:rsidR="00C16BBF" w:rsidRPr="004345ED" w:rsidRDefault="00C16BBF" w:rsidP="00C16BBF">
            <w:pPr>
              <w:spacing w:before="0"/>
              <w:jc w:val="right"/>
              <w:rPr>
                <w:rFonts w:cs="Arial"/>
                <w:color w:val="000000"/>
                <w:szCs w:val="20"/>
              </w:rPr>
            </w:pPr>
            <w:r w:rsidRPr="004345ED">
              <w:rPr>
                <w:rFonts w:cs="Arial"/>
                <w:szCs w:val="20"/>
              </w:rPr>
              <w:t>1.31</w:t>
            </w:r>
          </w:p>
        </w:tc>
        <w:tc>
          <w:tcPr>
            <w:tcW w:w="1560" w:type="dxa"/>
            <w:shd w:val="clear" w:color="000000" w:fill="EFD3D2"/>
            <w:noWrap/>
            <w:vAlign w:val="center"/>
            <w:hideMark/>
          </w:tcPr>
          <w:p w14:paraId="543EEED7" w14:textId="62BC286E" w:rsidR="00C16BBF" w:rsidRPr="004345ED" w:rsidRDefault="00C16BBF" w:rsidP="00C16BBF">
            <w:pPr>
              <w:spacing w:before="0"/>
              <w:jc w:val="right"/>
              <w:rPr>
                <w:rFonts w:cs="Arial"/>
                <w:color w:val="000000"/>
                <w:szCs w:val="20"/>
              </w:rPr>
            </w:pPr>
            <w:r w:rsidRPr="004345ED">
              <w:rPr>
                <w:rFonts w:cs="Arial"/>
                <w:szCs w:val="20"/>
              </w:rPr>
              <w:t>1.31</w:t>
            </w:r>
          </w:p>
        </w:tc>
      </w:tr>
      <w:tr w:rsidR="00C16BBF" w:rsidRPr="004345ED" w14:paraId="3DE17535" w14:textId="77777777" w:rsidTr="00C13E49">
        <w:trPr>
          <w:trHeight w:val="439"/>
        </w:trPr>
        <w:tc>
          <w:tcPr>
            <w:tcW w:w="1457" w:type="dxa"/>
            <w:shd w:val="clear" w:color="auto" w:fill="auto"/>
            <w:noWrap/>
            <w:vAlign w:val="center"/>
            <w:hideMark/>
          </w:tcPr>
          <w:p w14:paraId="595D3344" w14:textId="77777777" w:rsidR="00C16BBF" w:rsidRPr="004345ED" w:rsidRDefault="00C16BBF" w:rsidP="00C16BBF">
            <w:pPr>
              <w:spacing w:before="0"/>
              <w:jc w:val="left"/>
              <w:rPr>
                <w:rFonts w:cs="Arial"/>
                <w:color w:val="000000"/>
                <w:szCs w:val="20"/>
                <w:vertAlign w:val="superscript"/>
              </w:rPr>
            </w:pPr>
            <w:r w:rsidRPr="004345ED">
              <w:rPr>
                <w:rFonts w:cs="Arial"/>
                <w:color w:val="000000"/>
                <w:szCs w:val="20"/>
              </w:rPr>
              <w:t>Qld</w:t>
            </w:r>
            <w:r w:rsidRPr="004345ED">
              <w:rPr>
                <w:rFonts w:cs="Arial"/>
                <w:color w:val="000000"/>
                <w:szCs w:val="20"/>
                <w:vertAlign w:val="superscript"/>
              </w:rPr>
              <w:t xml:space="preserve">(c) </w:t>
            </w:r>
          </w:p>
        </w:tc>
        <w:tc>
          <w:tcPr>
            <w:tcW w:w="1559" w:type="dxa"/>
            <w:shd w:val="clear" w:color="auto" w:fill="auto"/>
            <w:noWrap/>
            <w:vAlign w:val="center"/>
          </w:tcPr>
          <w:p w14:paraId="67848E9E" w14:textId="415D4166" w:rsidR="00C16BBF" w:rsidRPr="004345ED" w:rsidRDefault="00C16BBF" w:rsidP="00C16BBF">
            <w:pPr>
              <w:spacing w:before="0"/>
              <w:jc w:val="right"/>
              <w:rPr>
                <w:rFonts w:cs="Arial"/>
                <w:color w:val="000000"/>
                <w:szCs w:val="20"/>
              </w:rPr>
            </w:pPr>
            <w:r w:rsidRPr="004345ED">
              <w:rPr>
                <w:rFonts w:cs="Arial"/>
                <w:szCs w:val="20"/>
              </w:rPr>
              <w:t>1.17</w:t>
            </w:r>
          </w:p>
        </w:tc>
        <w:tc>
          <w:tcPr>
            <w:tcW w:w="1819" w:type="dxa"/>
            <w:shd w:val="clear" w:color="auto" w:fill="auto"/>
            <w:noWrap/>
            <w:vAlign w:val="center"/>
          </w:tcPr>
          <w:p w14:paraId="63603836" w14:textId="4C630912" w:rsidR="00C16BBF" w:rsidRPr="004345ED" w:rsidRDefault="00C16BBF" w:rsidP="00C16BBF">
            <w:pPr>
              <w:spacing w:before="0"/>
              <w:jc w:val="right"/>
              <w:rPr>
                <w:rFonts w:cs="Arial"/>
                <w:color w:val="000000"/>
                <w:szCs w:val="20"/>
              </w:rPr>
            </w:pPr>
            <w:r w:rsidRPr="004345ED">
              <w:rPr>
                <w:rFonts w:cs="Arial"/>
                <w:szCs w:val="20"/>
              </w:rPr>
              <w:t>1.17</w:t>
            </w:r>
          </w:p>
        </w:tc>
        <w:tc>
          <w:tcPr>
            <w:tcW w:w="1559" w:type="dxa"/>
            <w:shd w:val="clear" w:color="auto" w:fill="auto"/>
            <w:noWrap/>
            <w:vAlign w:val="center"/>
          </w:tcPr>
          <w:p w14:paraId="7D595045" w14:textId="0E5FD02F" w:rsidR="00C16BBF" w:rsidRPr="004345ED" w:rsidRDefault="00C16BBF" w:rsidP="00C16BBF">
            <w:pPr>
              <w:spacing w:before="0"/>
              <w:jc w:val="right"/>
              <w:rPr>
                <w:rFonts w:cs="Arial"/>
                <w:color w:val="000000"/>
                <w:szCs w:val="20"/>
              </w:rPr>
            </w:pPr>
            <w:r w:rsidRPr="004345ED">
              <w:rPr>
                <w:rFonts w:cs="Arial"/>
                <w:szCs w:val="20"/>
              </w:rPr>
              <w:t>1.24</w:t>
            </w:r>
          </w:p>
        </w:tc>
        <w:tc>
          <w:tcPr>
            <w:tcW w:w="1559" w:type="dxa"/>
            <w:shd w:val="clear" w:color="auto" w:fill="auto"/>
            <w:noWrap/>
            <w:vAlign w:val="center"/>
          </w:tcPr>
          <w:p w14:paraId="66697368" w14:textId="0CC249FC" w:rsidR="00C16BBF" w:rsidRPr="004345ED" w:rsidRDefault="00C16BBF" w:rsidP="00C16BBF">
            <w:pPr>
              <w:spacing w:before="0"/>
              <w:jc w:val="right"/>
              <w:rPr>
                <w:rFonts w:cs="Arial"/>
                <w:color w:val="000000"/>
                <w:szCs w:val="20"/>
              </w:rPr>
            </w:pPr>
            <w:r w:rsidRPr="004345ED">
              <w:rPr>
                <w:rFonts w:cs="Arial"/>
                <w:szCs w:val="20"/>
              </w:rPr>
              <w:t>1.24</w:t>
            </w:r>
          </w:p>
        </w:tc>
        <w:tc>
          <w:tcPr>
            <w:tcW w:w="1560" w:type="dxa"/>
            <w:shd w:val="clear" w:color="auto" w:fill="auto"/>
            <w:noWrap/>
            <w:vAlign w:val="center"/>
            <w:hideMark/>
          </w:tcPr>
          <w:p w14:paraId="767D3EDC" w14:textId="149CF0C9" w:rsidR="00C16BBF" w:rsidRPr="004345ED" w:rsidRDefault="00C16BBF" w:rsidP="00C16BBF">
            <w:pPr>
              <w:spacing w:before="0"/>
              <w:jc w:val="right"/>
              <w:rPr>
                <w:rFonts w:cs="Arial"/>
                <w:color w:val="000000"/>
                <w:szCs w:val="20"/>
              </w:rPr>
            </w:pPr>
            <w:r w:rsidRPr="004345ED">
              <w:rPr>
                <w:rFonts w:cs="Arial"/>
                <w:szCs w:val="20"/>
              </w:rPr>
              <w:t>1.15</w:t>
            </w:r>
          </w:p>
        </w:tc>
      </w:tr>
      <w:tr w:rsidR="00C16BBF" w:rsidRPr="004345ED" w14:paraId="4F120455" w14:textId="77777777" w:rsidTr="00C13E49">
        <w:trPr>
          <w:trHeight w:val="439"/>
        </w:trPr>
        <w:tc>
          <w:tcPr>
            <w:tcW w:w="1457" w:type="dxa"/>
            <w:shd w:val="clear" w:color="000000" w:fill="EFD3D2"/>
            <w:noWrap/>
            <w:vAlign w:val="center"/>
            <w:hideMark/>
          </w:tcPr>
          <w:p w14:paraId="0D5A52B1" w14:textId="77777777" w:rsidR="00C16BBF" w:rsidRPr="004345ED" w:rsidRDefault="00C16BBF" w:rsidP="00C16BBF">
            <w:pPr>
              <w:spacing w:before="0"/>
              <w:jc w:val="left"/>
              <w:rPr>
                <w:rFonts w:cs="Arial"/>
                <w:color w:val="000000"/>
                <w:szCs w:val="20"/>
              </w:rPr>
            </w:pPr>
            <w:r w:rsidRPr="004345ED">
              <w:rPr>
                <w:rFonts w:cs="Arial"/>
                <w:color w:val="000000"/>
                <w:szCs w:val="20"/>
              </w:rPr>
              <w:t>WA</w:t>
            </w:r>
          </w:p>
        </w:tc>
        <w:tc>
          <w:tcPr>
            <w:tcW w:w="1559" w:type="dxa"/>
            <w:shd w:val="clear" w:color="000000" w:fill="EFD3D2"/>
            <w:noWrap/>
            <w:vAlign w:val="center"/>
          </w:tcPr>
          <w:p w14:paraId="5D22FB02" w14:textId="3EFB52B4" w:rsidR="00C16BBF" w:rsidRPr="004345ED" w:rsidRDefault="00C16BBF" w:rsidP="00C16BBF">
            <w:pPr>
              <w:spacing w:before="0"/>
              <w:jc w:val="right"/>
              <w:rPr>
                <w:rFonts w:cs="Arial"/>
                <w:color w:val="000000"/>
                <w:szCs w:val="20"/>
              </w:rPr>
            </w:pPr>
            <w:r w:rsidRPr="004345ED">
              <w:rPr>
                <w:rFonts w:cs="Arial"/>
                <w:color w:val="000000"/>
                <w:szCs w:val="20"/>
              </w:rPr>
              <w:t>1.65</w:t>
            </w:r>
          </w:p>
        </w:tc>
        <w:tc>
          <w:tcPr>
            <w:tcW w:w="1819" w:type="dxa"/>
            <w:shd w:val="clear" w:color="000000" w:fill="EFD3D2"/>
            <w:noWrap/>
            <w:vAlign w:val="center"/>
          </w:tcPr>
          <w:p w14:paraId="22046A19" w14:textId="63CE1740" w:rsidR="00C16BBF" w:rsidRPr="004345ED" w:rsidRDefault="00C16BBF" w:rsidP="00C16BBF">
            <w:pPr>
              <w:spacing w:before="0"/>
              <w:jc w:val="right"/>
              <w:rPr>
                <w:rFonts w:cs="Arial"/>
                <w:color w:val="000000"/>
                <w:szCs w:val="20"/>
              </w:rPr>
            </w:pPr>
            <w:r w:rsidRPr="004345ED">
              <w:rPr>
                <w:rFonts w:cs="Arial"/>
                <w:szCs w:val="20"/>
              </w:rPr>
              <w:t>1.49</w:t>
            </w:r>
          </w:p>
        </w:tc>
        <w:tc>
          <w:tcPr>
            <w:tcW w:w="1559" w:type="dxa"/>
            <w:shd w:val="clear" w:color="000000" w:fill="EFD3D2"/>
            <w:noWrap/>
            <w:vAlign w:val="center"/>
          </w:tcPr>
          <w:p w14:paraId="1E6709EA" w14:textId="745ECFFC" w:rsidR="00C16BBF" w:rsidRPr="004345ED" w:rsidRDefault="00C16BBF" w:rsidP="00C16BBF">
            <w:pPr>
              <w:spacing w:before="0"/>
              <w:jc w:val="right"/>
              <w:rPr>
                <w:rFonts w:cs="Arial"/>
                <w:color w:val="000000"/>
                <w:szCs w:val="20"/>
              </w:rPr>
            </w:pPr>
            <w:r w:rsidRPr="004345ED">
              <w:rPr>
                <w:rFonts w:cs="Arial"/>
                <w:szCs w:val="20"/>
              </w:rPr>
              <w:t>1.50</w:t>
            </w:r>
          </w:p>
        </w:tc>
        <w:tc>
          <w:tcPr>
            <w:tcW w:w="1559" w:type="dxa"/>
            <w:shd w:val="clear" w:color="000000" w:fill="EFD3D2"/>
            <w:noWrap/>
            <w:vAlign w:val="center"/>
          </w:tcPr>
          <w:p w14:paraId="71F41EC3" w14:textId="745DD94D" w:rsidR="00C16BBF" w:rsidRPr="004345ED" w:rsidRDefault="00C16BBF" w:rsidP="00C16BBF">
            <w:pPr>
              <w:spacing w:before="0"/>
              <w:jc w:val="right"/>
              <w:rPr>
                <w:rFonts w:cs="Arial"/>
                <w:color w:val="000000"/>
                <w:szCs w:val="20"/>
              </w:rPr>
            </w:pPr>
            <w:r w:rsidRPr="004345ED">
              <w:rPr>
                <w:rFonts w:cs="Arial"/>
                <w:szCs w:val="20"/>
              </w:rPr>
              <w:t>1.45</w:t>
            </w:r>
          </w:p>
        </w:tc>
        <w:tc>
          <w:tcPr>
            <w:tcW w:w="1560" w:type="dxa"/>
            <w:shd w:val="clear" w:color="000000" w:fill="EFD3D2"/>
            <w:noWrap/>
            <w:vAlign w:val="center"/>
            <w:hideMark/>
          </w:tcPr>
          <w:p w14:paraId="3D4D06FE" w14:textId="4F664865" w:rsidR="00C16BBF" w:rsidRPr="004345ED" w:rsidRDefault="00C16BBF" w:rsidP="00C16BBF">
            <w:pPr>
              <w:spacing w:before="0"/>
              <w:jc w:val="right"/>
              <w:rPr>
                <w:rFonts w:cs="Arial"/>
                <w:color w:val="000000"/>
                <w:szCs w:val="20"/>
              </w:rPr>
            </w:pPr>
            <w:r w:rsidRPr="004345ED">
              <w:rPr>
                <w:rFonts w:cs="Arial"/>
                <w:szCs w:val="20"/>
              </w:rPr>
              <w:t>1.45</w:t>
            </w:r>
          </w:p>
        </w:tc>
      </w:tr>
      <w:tr w:rsidR="00C16BBF" w:rsidRPr="004345ED" w14:paraId="2898133B" w14:textId="77777777" w:rsidTr="00C13E49">
        <w:trPr>
          <w:trHeight w:val="439"/>
        </w:trPr>
        <w:tc>
          <w:tcPr>
            <w:tcW w:w="1457" w:type="dxa"/>
            <w:shd w:val="clear" w:color="auto" w:fill="auto"/>
            <w:noWrap/>
            <w:vAlign w:val="center"/>
            <w:hideMark/>
          </w:tcPr>
          <w:p w14:paraId="013D045A" w14:textId="77777777" w:rsidR="00C16BBF" w:rsidRPr="004345ED" w:rsidRDefault="00C16BBF" w:rsidP="00C16BBF">
            <w:pPr>
              <w:spacing w:before="0"/>
              <w:jc w:val="left"/>
              <w:rPr>
                <w:rFonts w:cs="Arial"/>
                <w:color w:val="000000"/>
                <w:szCs w:val="20"/>
              </w:rPr>
            </w:pPr>
            <w:r w:rsidRPr="004345ED">
              <w:rPr>
                <w:rFonts w:cs="Arial"/>
                <w:color w:val="000000"/>
                <w:szCs w:val="20"/>
              </w:rPr>
              <w:t>SA</w:t>
            </w:r>
          </w:p>
        </w:tc>
        <w:tc>
          <w:tcPr>
            <w:tcW w:w="1559" w:type="dxa"/>
            <w:shd w:val="clear" w:color="auto" w:fill="auto"/>
            <w:noWrap/>
            <w:vAlign w:val="center"/>
          </w:tcPr>
          <w:p w14:paraId="1CDCB183" w14:textId="0C52ADEA" w:rsidR="00C16BBF" w:rsidRPr="004345ED" w:rsidRDefault="00C16BBF" w:rsidP="00C16BBF">
            <w:pPr>
              <w:spacing w:before="0"/>
              <w:jc w:val="right"/>
              <w:rPr>
                <w:rFonts w:cs="Arial"/>
                <w:color w:val="000000"/>
                <w:szCs w:val="20"/>
              </w:rPr>
            </w:pPr>
            <w:r w:rsidRPr="004345ED">
              <w:rPr>
                <w:rFonts w:cs="Arial"/>
                <w:color w:val="000000"/>
                <w:szCs w:val="20"/>
              </w:rPr>
              <w:t>1.66</w:t>
            </w:r>
          </w:p>
        </w:tc>
        <w:tc>
          <w:tcPr>
            <w:tcW w:w="1819" w:type="dxa"/>
            <w:shd w:val="clear" w:color="auto" w:fill="auto"/>
            <w:noWrap/>
            <w:vAlign w:val="center"/>
          </w:tcPr>
          <w:p w14:paraId="5992A6A3" w14:textId="21F43A69" w:rsidR="00C16BBF" w:rsidRPr="004345ED" w:rsidRDefault="00C16BBF" w:rsidP="00C16BBF">
            <w:pPr>
              <w:spacing w:before="0"/>
              <w:jc w:val="right"/>
              <w:rPr>
                <w:rFonts w:cs="Arial"/>
                <w:color w:val="000000"/>
                <w:szCs w:val="20"/>
              </w:rPr>
            </w:pPr>
            <w:r w:rsidRPr="004345ED">
              <w:rPr>
                <w:rFonts w:cs="Arial"/>
                <w:szCs w:val="20"/>
              </w:rPr>
              <w:t>1.66</w:t>
            </w:r>
          </w:p>
        </w:tc>
        <w:tc>
          <w:tcPr>
            <w:tcW w:w="1559" w:type="dxa"/>
            <w:shd w:val="clear" w:color="auto" w:fill="auto"/>
            <w:noWrap/>
            <w:vAlign w:val="center"/>
          </w:tcPr>
          <w:p w14:paraId="6A0F9B75" w14:textId="3171A151" w:rsidR="00C16BBF" w:rsidRPr="004345ED" w:rsidRDefault="00C16BBF" w:rsidP="00C16BBF">
            <w:pPr>
              <w:spacing w:before="0"/>
              <w:jc w:val="right"/>
              <w:rPr>
                <w:rFonts w:cs="Arial"/>
                <w:color w:val="000000"/>
                <w:szCs w:val="20"/>
              </w:rPr>
            </w:pPr>
            <w:r w:rsidRPr="004345ED">
              <w:rPr>
                <w:rFonts w:cs="Arial"/>
                <w:szCs w:val="20"/>
              </w:rPr>
              <w:t>1.64</w:t>
            </w:r>
          </w:p>
        </w:tc>
        <w:tc>
          <w:tcPr>
            <w:tcW w:w="1559" w:type="dxa"/>
            <w:shd w:val="clear" w:color="auto" w:fill="auto"/>
            <w:noWrap/>
            <w:vAlign w:val="center"/>
          </w:tcPr>
          <w:p w14:paraId="73CBD0BC" w14:textId="6F466BBA" w:rsidR="00C16BBF" w:rsidRPr="004345ED" w:rsidRDefault="00C16BBF" w:rsidP="00C16BBF">
            <w:pPr>
              <w:spacing w:before="0"/>
              <w:jc w:val="right"/>
              <w:rPr>
                <w:rFonts w:cs="Arial"/>
                <w:color w:val="000000"/>
                <w:szCs w:val="20"/>
              </w:rPr>
            </w:pPr>
            <w:r w:rsidRPr="004345ED">
              <w:rPr>
                <w:rFonts w:cs="Arial"/>
                <w:szCs w:val="20"/>
              </w:rPr>
              <w:t>1.60</w:t>
            </w:r>
          </w:p>
        </w:tc>
        <w:tc>
          <w:tcPr>
            <w:tcW w:w="1560" w:type="dxa"/>
            <w:shd w:val="clear" w:color="auto" w:fill="auto"/>
            <w:noWrap/>
            <w:vAlign w:val="center"/>
            <w:hideMark/>
          </w:tcPr>
          <w:p w14:paraId="6D13B873" w14:textId="7B9FAD76" w:rsidR="00C16BBF" w:rsidRPr="004345ED" w:rsidRDefault="00C16BBF" w:rsidP="00C16BBF">
            <w:pPr>
              <w:spacing w:before="0"/>
              <w:jc w:val="right"/>
              <w:rPr>
                <w:rFonts w:cs="Arial"/>
                <w:color w:val="000000"/>
                <w:szCs w:val="20"/>
              </w:rPr>
            </w:pPr>
            <w:r w:rsidRPr="004345ED">
              <w:rPr>
                <w:rFonts w:cs="Arial"/>
                <w:szCs w:val="20"/>
              </w:rPr>
              <w:t>1.60</w:t>
            </w:r>
          </w:p>
        </w:tc>
      </w:tr>
      <w:tr w:rsidR="00C16BBF" w:rsidRPr="004345ED" w14:paraId="4B1EFF03" w14:textId="77777777" w:rsidTr="00C13E49">
        <w:trPr>
          <w:trHeight w:val="439"/>
        </w:trPr>
        <w:tc>
          <w:tcPr>
            <w:tcW w:w="1457" w:type="dxa"/>
            <w:shd w:val="clear" w:color="000000" w:fill="EFD3D2"/>
            <w:noWrap/>
            <w:vAlign w:val="center"/>
            <w:hideMark/>
          </w:tcPr>
          <w:p w14:paraId="6D269739" w14:textId="77777777" w:rsidR="00C16BBF" w:rsidRPr="004345ED" w:rsidRDefault="00C16BBF" w:rsidP="00C16BBF">
            <w:pPr>
              <w:spacing w:before="0"/>
              <w:jc w:val="left"/>
              <w:rPr>
                <w:rFonts w:cs="Arial"/>
                <w:color w:val="000000"/>
                <w:szCs w:val="20"/>
              </w:rPr>
            </w:pPr>
            <w:r w:rsidRPr="004345ED">
              <w:rPr>
                <w:rFonts w:cs="Arial"/>
                <w:color w:val="000000"/>
                <w:szCs w:val="20"/>
              </w:rPr>
              <w:t>Tas</w:t>
            </w:r>
          </w:p>
        </w:tc>
        <w:tc>
          <w:tcPr>
            <w:tcW w:w="1559" w:type="dxa"/>
            <w:shd w:val="clear" w:color="000000" w:fill="EFD3D2"/>
            <w:noWrap/>
            <w:vAlign w:val="center"/>
          </w:tcPr>
          <w:p w14:paraId="7C8448E9" w14:textId="5CB00A28" w:rsidR="00C16BBF" w:rsidRPr="004345ED" w:rsidRDefault="00C16BBF" w:rsidP="00C16BBF">
            <w:pPr>
              <w:spacing w:before="0"/>
              <w:jc w:val="right"/>
              <w:rPr>
                <w:rFonts w:cs="Arial"/>
                <w:color w:val="000000"/>
                <w:szCs w:val="20"/>
              </w:rPr>
            </w:pPr>
            <w:r w:rsidRPr="004345ED">
              <w:rPr>
                <w:rFonts w:cs="Arial"/>
                <w:color w:val="000000"/>
                <w:szCs w:val="20"/>
              </w:rPr>
              <w:t>1.99</w:t>
            </w:r>
          </w:p>
        </w:tc>
        <w:tc>
          <w:tcPr>
            <w:tcW w:w="1819" w:type="dxa"/>
            <w:shd w:val="clear" w:color="000000" w:fill="EFD3D2"/>
            <w:noWrap/>
            <w:vAlign w:val="center"/>
          </w:tcPr>
          <w:p w14:paraId="79EDFF5D" w14:textId="37CE817A" w:rsidR="00C16BBF" w:rsidRPr="004345ED" w:rsidRDefault="00C16BBF" w:rsidP="00C16BBF">
            <w:pPr>
              <w:spacing w:before="0"/>
              <w:jc w:val="right"/>
              <w:rPr>
                <w:rFonts w:cs="Arial"/>
                <w:color w:val="000000"/>
                <w:szCs w:val="20"/>
              </w:rPr>
            </w:pPr>
            <w:r w:rsidRPr="004345ED">
              <w:rPr>
                <w:rFonts w:cs="Arial"/>
                <w:szCs w:val="20"/>
              </w:rPr>
              <w:t>1.81</w:t>
            </w:r>
          </w:p>
        </w:tc>
        <w:tc>
          <w:tcPr>
            <w:tcW w:w="1559" w:type="dxa"/>
            <w:shd w:val="clear" w:color="000000" w:fill="EFD3D2"/>
            <w:noWrap/>
            <w:vAlign w:val="center"/>
          </w:tcPr>
          <w:p w14:paraId="3A6A8234" w14:textId="0849F7AC" w:rsidR="00C16BBF" w:rsidRPr="004345ED" w:rsidRDefault="00C16BBF" w:rsidP="00C16BBF">
            <w:pPr>
              <w:spacing w:before="0"/>
              <w:jc w:val="right"/>
              <w:rPr>
                <w:rFonts w:cs="Arial"/>
                <w:color w:val="000000"/>
                <w:szCs w:val="20"/>
              </w:rPr>
            </w:pPr>
            <w:r w:rsidRPr="004345ED">
              <w:rPr>
                <w:rFonts w:cs="Arial"/>
                <w:szCs w:val="20"/>
              </w:rPr>
              <w:t>1.98</w:t>
            </w:r>
          </w:p>
        </w:tc>
        <w:tc>
          <w:tcPr>
            <w:tcW w:w="1559" w:type="dxa"/>
            <w:shd w:val="clear" w:color="000000" w:fill="EFD3D2"/>
            <w:noWrap/>
            <w:vAlign w:val="center"/>
          </w:tcPr>
          <w:p w14:paraId="2311E2A1" w14:textId="18AF2680" w:rsidR="00C16BBF" w:rsidRPr="004345ED" w:rsidRDefault="00C16BBF" w:rsidP="00C16BBF">
            <w:pPr>
              <w:spacing w:before="0"/>
              <w:jc w:val="right"/>
              <w:rPr>
                <w:rFonts w:cs="Arial"/>
                <w:color w:val="000000"/>
                <w:szCs w:val="20"/>
              </w:rPr>
            </w:pPr>
            <w:r w:rsidRPr="004345ED">
              <w:rPr>
                <w:rFonts w:cs="Arial"/>
                <w:szCs w:val="20"/>
              </w:rPr>
              <w:t>1.92</w:t>
            </w:r>
          </w:p>
        </w:tc>
        <w:tc>
          <w:tcPr>
            <w:tcW w:w="1560" w:type="dxa"/>
            <w:shd w:val="clear" w:color="000000" w:fill="EFD3D2"/>
            <w:noWrap/>
            <w:vAlign w:val="center"/>
            <w:hideMark/>
          </w:tcPr>
          <w:p w14:paraId="002FF6E2" w14:textId="1264CC01" w:rsidR="00C16BBF" w:rsidRPr="004345ED" w:rsidRDefault="00C16BBF" w:rsidP="00C16BBF">
            <w:pPr>
              <w:spacing w:before="0"/>
              <w:jc w:val="right"/>
              <w:rPr>
                <w:rFonts w:cs="Arial"/>
                <w:color w:val="000000"/>
                <w:szCs w:val="20"/>
              </w:rPr>
            </w:pPr>
            <w:r w:rsidRPr="004345ED">
              <w:rPr>
                <w:rFonts w:cs="Arial"/>
                <w:szCs w:val="20"/>
              </w:rPr>
              <w:t>1.92</w:t>
            </w:r>
          </w:p>
        </w:tc>
      </w:tr>
      <w:tr w:rsidR="00C16BBF" w:rsidRPr="004345ED" w14:paraId="4758AC1C" w14:textId="77777777" w:rsidTr="00C13E49">
        <w:trPr>
          <w:trHeight w:val="439"/>
        </w:trPr>
        <w:tc>
          <w:tcPr>
            <w:tcW w:w="1457" w:type="dxa"/>
            <w:shd w:val="clear" w:color="auto" w:fill="auto"/>
            <w:noWrap/>
            <w:vAlign w:val="center"/>
            <w:hideMark/>
          </w:tcPr>
          <w:p w14:paraId="7F29F7CB" w14:textId="77777777" w:rsidR="00C16BBF" w:rsidRPr="004345ED" w:rsidRDefault="00C16BBF" w:rsidP="00C16BBF">
            <w:pPr>
              <w:spacing w:before="0"/>
              <w:jc w:val="left"/>
              <w:rPr>
                <w:rFonts w:cs="Arial"/>
                <w:color w:val="000000"/>
                <w:szCs w:val="20"/>
              </w:rPr>
            </w:pPr>
            <w:r w:rsidRPr="004345ED">
              <w:rPr>
                <w:rFonts w:cs="Arial"/>
                <w:color w:val="000000"/>
                <w:szCs w:val="20"/>
              </w:rPr>
              <w:t>NT</w:t>
            </w:r>
          </w:p>
        </w:tc>
        <w:tc>
          <w:tcPr>
            <w:tcW w:w="1559" w:type="dxa"/>
            <w:shd w:val="clear" w:color="auto" w:fill="auto"/>
            <w:noWrap/>
            <w:vAlign w:val="center"/>
          </w:tcPr>
          <w:p w14:paraId="08142FF2" w14:textId="0FF80DEE" w:rsidR="00C16BBF" w:rsidRPr="004345ED" w:rsidRDefault="00C16BBF" w:rsidP="00C16BBF">
            <w:pPr>
              <w:spacing w:before="0"/>
              <w:jc w:val="right"/>
              <w:rPr>
                <w:rFonts w:cs="Arial"/>
                <w:color w:val="000000"/>
                <w:szCs w:val="20"/>
              </w:rPr>
            </w:pPr>
            <w:r w:rsidRPr="004345ED">
              <w:rPr>
                <w:rFonts w:cs="Arial"/>
                <w:color w:val="000000"/>
                <w:szCs w:val="20"/>
              </w:rPr>
              <w:t>2.27</w:t>
            </w:r>
          </w:p>
        </w:tc>
        <w:tc>
          <w:tcPr>
            <w:tcW w:w="1819" w:type="dxa"/>
            <w:shd w:val="clear" w:color="auto" w:fill="auto"/>
            <w:noWrap/>
            <w:vAlign w:val="center"/>
          </w:tcPr>
          <w:p w14:paraId="097FFA82" w14:textId="3FF2EB20" w:rsidR="00C16BBF" w:rsidRPr="004345ED" w:rsidRDefault="00C16BBF" w:rsidP="00C16BBF">
            <w:pPr>
              <w:spacing w:before="0"/>
              <w:jc w:val="right"/>
              <w:rPr>
                <w:rFonts w:cs="Arial"/>
                <w:color w:val="000000"/>
                <w:szCs w:val="20"/>
              </w:rPr>
            </w:pPr>
            <w:r w:rsidRPr="004345ED">
              <w:rPr>
                <w:rFonts w:cs="Arial"/>
                <w:szCs w:val="20"/>
              </w:rPr>
              <w:t>2.06</w:t>
            </w:r>
          </w:p>
        </w:tc>
        <w:tc>
          <w:tcPr>
            <w:tcW w:w="1559" w:type="dxa"/>
            <w:shd w:val="clear" w:color="auto" w:fill="auto"/>
            <w:noWrap/>
            <w:vAlign w:val="center"/>
          </w:tcPr>
          <w:p w14:paraId="0DBA0B6C" w14:textId="6532FD45" w:rsidR="00C16BBF" w:rsidRPr="004345ED" w:rsidRDefault="00C16BBF" w:rsidP="00C16BBF">
            <w:pPr>
              <w:spacing w:before="0"/>
              <w:jc w:val="right"/>
              <w:rPr>
                <w:rFonts w:cs="Arial"/>
                <w:color w:val="000000"/>
                <w:szCs w:val="20"/>
              </w:rPr>
            </w:pPr>
            <w:r w:rsidRPr="004345ED">
              <w:rPr>
                <w:rFonts w:cs="Arial"/>
                <w:szCs w:val="20"/>
              </w:rPr>
              <w:t>1.31</w:t>
            </w:r>
          </w:p>
        </w:tc>
        <w:tc>
          <w:tcPr>
            <w:tcW w:w="1559" w:type="dxa"/>
            <w:shd w:val="clear" w:color="auto" w:fill="auto"/>
            <w:noWrap/>
            <w:vAlign w:val="center"/>
          </w:tcPr>
          <w:p w14:paraId="3554D892" w14:textId="702B2751" w:rsidR="00C16BBF" w:rsidRPr="004345ED" w:rsidRDefault="00C16BBF" w:rsidP="00C16BBF">
            <w:pPr>
              <w:spacing w:before="0"/>
              <w:jc w:val="right"/>
              <w:rPr>
                <w:rFonts w:cs="Arial"/>
                <w:color w:val="000000"/>
                <w:szCs w:val="20"/>
              </w:rPr>
            </w:pPr>
            <w:r w:rsidRPr="004345ED">
              <w:rPr>
                <w:rFonts w:cs="Arial"/>
                <w:szCs w:val="20"/>
              </w:rPr>
              <w:t>1.29</w:t>
            </w:r>
          </w:p>
        </w:tc>
        <w:tc>
          <w:tcPr>
            <w:tcW w:w="1560" w:type="dxa"/>
            <w:shd w:val="clear" w:color="auto" w:fill="auto"/>
            <w:noWrap/>
            <w:vAlign w:val="center"/>
            <w:hideMark/>
          </w:tcPr>
          <w:p w14:paraId="13052492" w14:textId="429033CE" w:rsidR="00C16BBF" w:rsidRPr="004345ED" w:rsidRDefault="00C16BBF" w:rsidP="00C16BBF">
            <w:pPr>
              <w:spacing w:before="0"/>
              <w:jc w:val="right"/>
              <w:rPr>
                <w:rFonts w:cs="Arial"/>
                <w:color w:val="000000"/>
                <w:szCs w:val="20"/>
              </w:rPr>
            </w:pPr>
            <w:r w:rsidRPr="004345ED">
              <w:rPr>
                <w:rFonts w:cs="Arial"/>
                <w:szCs w:val="20"/>
              </w:rPr>
              <w:t>1.29</w:t>
            </w:r>
          </w:p>
        </w:tc>
      </w:tr>
      <w:tr w:rsidR="00C16BBF" w:rsidRPr="004345ED" w14:paraId="092CE84A" w14:textId="77777777" w:rsidTr="00C13E49">
        <w:trPr>
          <w:trHeight w:val="439"/>
        </w:trPr>
        <w:tc>
          <w:tcPr>
            <w:tcW w:w="1457" w:type="dxa"/>
            <w:shd w:val="clear" w:color="000000" w:fill="EFD3D2"/>
            <w:noWrap/>
            <w:vAlign w:val="center"/>
            <w:hideMark/>
          </w:tcPr>
          <w:p w14:paraId="2FCF9B6B" w14:textId="77777777" w:rsidR="00C16BBF" w:rsidRPr="004345ED" w:rsidRDefault="00C16BBF" w:rsidP="00C16BBF">
            <w:pPr>
              <w:spacing w:before="0"/>
              <w:jc w:val="left"/>
              <w:rPr>
                <w:rFonts w:cs="Arial"/>
                <w:color w:val="000000"/>
                <w:szCs w:val="20"/>
              </w:rPr>
            </w:pPr>
            <w:r w:rsidRPr="004345ED">
              <w:rPr>
                <w:rFonts w:cs="Arial"/>
                <w:color w:val="000000"/>
                <w:szCs w:val="20"/>
              </w:rPr>
              <w:t>ACT Private</w:t>
            </w:r>
          </w:p>
        </w:tc>
        <w:tc>
          <w:tcPr>
            <w:tcW w:w="1559" w:type="dxa"/>
            <w:shd w:val="clear" w:color="000000" w:fill="EFD3D2"/>
            <w:noWrap/>
            <w:vAlign w:val="center"/>
          </w:tcPr>
          <w:p w14:paraId="4A8A2B44" w14:textId="443C5530" w:rsidR="00C16BBF" w:rsidRPr="004345ED" w:rsidRDefault="00C16BBF" w:rsidP="00C16BBF">
            <w:pPr>
              <w:spacing w:before="0"/>
              <w:jc w:val="right"/>
              <w:rPr>
                <w:rFonts w:cs="Arial"/>
                <w:color w:val="000000"/>
                <w:szCs w:val="20"/>
              </w:rPr>
            </w:pPr>
            <w:r w:rsidRPr="004345ED">
              <w:rPr>
                <w:rFonts w:cs="Arial"/>
                <w:color w:val="000000"/>
                <w:szCs w:val="20"/>
              </w:rPr>
              <w:t>1.76</w:t>
            </w:r>
          </w:p>
        </w:tc>
        <w:tc>
          <w:tcPr>
            <w:tcW w:w="1819" w:type="dxa"/>
            <w:shd w:val="clear" w:color="000000" w:fill="EFD3D2"/>
            <w:noWrap/>
            <w:vAlign w:val="center"/>
          </w:tcPr>
          <w:p w14:paraId="31AAAFEA" w14:textId="31203689" w:rsidR="00C16BBF" w:rsidRPr="004345ED" w:rsidRDefault="00C16BBF" w:rsidP="00C16BBF">
            <w:pPr>
              <w:spacing w:before="0"/>
              <w:jc w:val="right"/>
              <w:rPr>
                <w:rFonts w:cs="Arial"/>
                <w:color w:val="000000"/>
                <w:szCs w:val="20"/>
              </w:rPr>
            </w:pPr>
            <w:r w:rsidRPr="004345ED">
              <w:rPr>
                <w:rFonts w:cs="Arial"/>
                <w:szCs w:val="20"/>
              </w:rPr>
              <w:t>1.76</w:t>
            </w:r>
          </w:p>
        </w:tc>
        <w:tc>
          <w:tcPr>
            <w:tcW w:w="1559" w:type="dxa"/>
            <w:shd w:val="clear" w:color="000000" w:fill="EFD3D2"/>
            <w:noWrap/>
            <w:vAlign w:val="center"/>
          </w:tcPr>
          <w:p w14:paraId="7C2B602C" w14:textId="3BD8F14C" w:rsidR="00C16BBF" w:rsidRPr="004345ED" w:rsidRDefault="00C16BBF" w:rsidP="00C16BBF">
            <w:pPr>
              <w:spacing w:before="0"/>
              <w:jc w:val="right"/>
              <w:rPr>
                <w:rFonts w:cs="Arial"/>
                <w:color w:val="000000"/>
                <w:szCs w:val="20"/>
              </w:rPr>
            </w:pPr>
            <w:r w:rsidRPr="004345ED">
              <w:rPr>
                <w:rFonts w:cs="Arial"/>
                <w:szCs w:val="20"/>
              </w:rPr>
              <w:t>1.77</w:t>
            </w:r>
          </w:p>
        </w:tc>
        <w:tc>
          <w:tcPr>
            <w:tcW w:w="1559" w:type="dxa"/>
            <w:shd w:val="clear" w:color="000000" w:fill="EFD3D2"/>
            <w:noWrap/>
            <w:vAlign w:val="center"/>
          </w:tcPr>
          <w:p w14:paraId="271572B8" w14:textId="0CADCE0C" w:rsidR="00C16BBF" w:rsidRPr="004345ED" w:rsidRDefault="00C16BBF" w:rsidP="00C16BBF">
            <w:pPr>
              <w:spacing w:before="0"/>
              <w:jc w:val="right"/>
              <w:rPr>
                <w:rFonts w:cs="Arial"/>
                <w:color w:val="000000"/>
                <w:szCs w:val="20"/>
              </w:rPr>
            </w:pPr>
            <w:r w:rsidRPr="004345ED">
              <w:rPr>
                <w:rFonts w:cs="Arial"/>
                <w:szCs w:val="20"/>
              </w:rPr>
              <w:t>1.73</w:t>
            </w:r>
          </w:p>
        </w:tc>
        <w:tc>
          <w:tcPr>
            <w:tcW w:w="1560" w:type="dxa"/>
            <w:shd w:val="clear" w:color="000000" w:fill="EFD3D2"/>
            <w:noWrap/>
            <w:vAlign w:val="center"/>
            <w:hideMark/>
          </w:tcPr>
          <w:p w14:paraId="7CDEC4B2" w14:textId="02C6693F" w:rsidR="00C16BBF" w:rsidRPr="004345ED" w:rsidRDefault="00C16BBF" w:rsidP="00C16BBF">
            <w:pPr>
              <w:spacing w:before="0"/>
              <w:jc w:val="right"/>
              <w:rPr>
                <w:rFonts w:cs="Arial"/>
                <w:color w:val="000000"/>
                <w:szCs w:val="20"/>
              </w:rPr>
            </w:pPr>
            <w:r w:rsidRPr="004345ED">
              <w:rPr>
                <w:rFonts w:cs="Arial"/>
                <w:szCs w:val="20"/>
              </w:rPr>
              <w:t>1.62</w:t>
            </w:r>
          </w:p>
        </w:tc>
      </w:tr>
      <w:tr w:rsidR="00C16BBF" w:rsidRPr="004345ED" w14:paraId="5FCF3B68" w14:textId="77777777" w:rsidTr="00C13E49">
        <w:trPr>
          <w:trHeight w:val="439"/>
        </w:trPr>
        <w:tc>
          <w:tcPr>
            <w:tcW w:w="1457" w:type="dxa"/>
            <w:shd w:val="clear" w:color="auto" w:fill="auto"/>
            <w:noWrap/>
            <w:vAlign w:val="center"/>
            <w:hideMark/>
          </w:tcPr>
          <w:p w14:paraId="1AD809AB" w14:textId="77777777" w:rsidR="00C16BBF" w:rsidRPr="004345ED" w:rsidRDefault="00C16BBF" w:rsidP="00C16BBF">
            <w:pPr>
              <w:spacing w:before="0"/>
              <w:jc w:val="left"/>
              <w:rPr>
                <w:rFonts w:cs="Arial"/>
                <w:color w:val="000000"/>
                <w:szCs w:val="20"/>
              </w:rPr>
            </w:pPr>
            <w:r w:rsidRPr="004345ED">
              <w:rPr>
                <w:rFonts w:cs="Arial"/>
                <w:color w:val="000000"/>
                <w:szCs w:val="20"/>
              </w:rPr>
              <w:t>Comcare</w:t>
            </w:r>
          </w:p>
        </w:tc>
        <w:tc>
          <w:tcPr>
            <w:tcW w:w="1559" w:type="dxa"/>
            <w:shd w:val="clear" w:color="auto" w:fill="auto"/>
            <w:noWrap/>
            <w:vAlign w:val="center"/>
          </w:tcPr>
          <w:p w14:paraId="6CF7B418" w14:textId="0EBBE168" w:rsidR="00C16BBF" w:rsidRPr="004345ED" w:rsidRDefault="00C16BBF" w:rsidP="00C16BBF">
            <w:pPr>
              <w:spacing w:before="0"/>
              <w:jc w:val="right"/>
              <w:rPr>
                <w:rFonts w:cs="Arial"/>
                <w:color w:val="000000"/>
                <w:szCs w:val="20"/>
              </w:rPr>
            </w:pPr>
            <w:r w:rsidRPr="004345ED">
              <w:rPr>
                <w:rFonts w:cs="Arial"/>
                <w:color w:val="000000"/>
                <w:szCs w:val="20"/>
              </w:rPr>
              <w:t>0.69</w:t>
            </w:r>
          </w:p>
        </w:tc>
        <w:tc>
          <w:tcPr>
            <w:tcW w:w="1819" w:type="dxa"/>
            <w:shd w:val="clear" w:color="auto" w:fill="auto"/>
            <w:noWrap/>
            <w:vAlign w:val="center"/>
          </w:tcPr>
          <w:p w14:paraId="75C4E7CA" w14:textId="10C042EC" w:rsidR="00C16BBF" w:rsidRPr="004345ED" w:rsidRDefault="00C16BBF" w:rsidP="00C16BBF">
            <w:pPr>
              <w:spacing w:before="0"/>
              <w:jc w:val="right"/>
              <w:rPr>
                <w:rFonts w:cs="Arial"/>
                <w:color w:val="000000"/>
                <w:szCs w:val="20"/>
              </w:rPr>
            </w:pPr>
            <w:r w:rsidRPr="004345ED">
              <w:rPr>
                <w:rFonts w:cs="Arial"/>
                <w:szCs w:val="20"/>
              </w:rPr>
              <w:t>0.69</w:t>
            </w:r>
          </w:p>
        </w:tc>
        <w:tc>
          <w:tcPr>
            <w:tcW w:w="1559" w:type="dxa"/>
            <w:shd w:val="clear" w:color="auto" w:fill="auto"/>
            <w:noWrap/>
            <w:vAlign w:val="center"/>
          </w:tcPr>
          <w:p w14:paraId="1DFD1FF4" w14:textId="3AD41195" w:rsidR="00C16BBF" w:rsidRPr="004345ED" w:rsidRDefault="00C16BBF" w:rsidP="00C16BBF">
            <w:pPr>
              <w:spacing w:before="0"/>
              <w:jc w:val="right"/>
              <w:rPr>
                <w:rFonts w:cs="Arial"/>
                <w:color w:val="000000"/>
                <w:szCs w:val="20"/>
              </w:rPr>
            </w:pPr>
            <w:r w:rsidRPr="004345ED">
              <w:rPr>
                <w:rFonts w:cs="Arial"/>
                <w:szCs w:val="20"/>
              </w:rPr>
              <w:t>0.73</w:t>
            </w:r>
          </w:p>
        </w:tc>
        <w:tc>
          <w:tcPr>
            <w:tcW w:w="1559" w:type="dxa"/>
            <w:shd w:val="clear" w:color="auto" w:fill="auto"/>
            <w:noWrap/>
            <w:vAlign w:val="center"/>
          </w:tcPr>
          <w:p w14:paraId="12BF98F4" w14:textId="74B3544C" w:rsidR="00C16BBF" w:rsidRPr="004345ED" w:rsidRDefault="00C16BBF" w:rsidP="00C16BBF">
            <w:pPr>
              <w:spacing w:before="0"/>
              <w:jc w:val="right"/>
              <w:rPr>
                <w:rFonts w:cs="Arial"/>
                <w:color w:val="000000"/>
                <w:szCs w:val="20"/>
              </w:rPr>
            </w:pPr>
            <w:r w:rsidRPr="004345ED">
              <w:rPr>
                <w:rFonts w:cs="Arial"/>
                <w:szCs w:val="20"/>
              </w:rPr>
              <w:t>0.70</w:t>
            </w:r>
          </w:p>
        </w:tc>
        <w:tc>
          <w:tcPr>
            <w:tcW w:w="1560" w:type="dxa"/>
            <w:shd w:val="clear" w:color="auto" w:fill="auto"/>
            <w:noWrap/>
            <w:vAlign w:val="center"/>
            <w:hideMark/>
          </w:tcPr>
          <w:p w14:paraId="5B5B7CCA" w14:textId="1EB5D947" w:rsidR="00C16BBF" w:rsidRPr="004345ED" w:rsidRDefault="00C16BBF" w:rsidP="00C16BBF">
            <w:pPr>
              <w:spacing w:before="0"/>
              <w:jc w:val="right"/>
              <w:rPr>
                <w:rFonts w:cs="Arial"/>
                <w:color w:val="000000"/>
                <w:szCs w:val="20"/>
              </w:rPr>
            </w:pPr>
            <w:r w:rsidRPr="004345ED">
              <w:rPr>
                <w:rFonts w:cs="Arial"/>
                <w:szCs w:val="20"/>
              </w:rPr>
              <w:t>0.70</w:t>
            </w:r>
          </w:p>
        </w:tc>
      </w:tr>
      <w:tr w:rsidR="00C16BBF" w:rsidRPr="004345ED" w14:paraId="09CD8215" w14:textId="77777777" w:rsidTr="00C13E49">
        <w:trPr>
          <w:trHeight w:val="439"/>
        </w:trPr>
        <w:tc>
          <w:tcPr>
            <w:tcW w:w="1457" w:type="dxa"/>
            <w:shd w:val="clear" w:color="auto" w:fill="EFD3D2"/>
            <w:noWrap/>
            <w:vAlign w:val="center"/>
            <w:hideMark/>
          </w:tcPr>
          <w:p w14:paraId="77FFEF9A" w14:textId="77777777" w:rsidR="00C16BBF" w:rsidRPr="004345ED" w:rsidRDefault="00C16BBF" w:rsidP="00C16BBF">
            <w:pPr>
              <w:spacing w:before="0"/>
              <w:jc w:val="left"/>
              <w:rPr>
                <w:rFonts w:cs="Arial"/>
                <w:b/>
                <w:color w:val="000000"/>
                <w:szCs w:val="20"/>
              </w:rPr>
            </w:pPr>
            <w:r w:rsidRPr="004345ED">
              <w:rPr>
                <w:rFonts w:cs="Arial"/>
                <w:b/>
                <w:color w:val="000000"/>
                <w:szCs w:val="20"/>
              </w:rPr>
              <w:t>Australia</w:t>
            </w:r>
          </w:p>
        </w:tc>
        <w:tc>
          <w:tcPr>
            <w:tcW w:w="1559" w:type="dxa"/>
            <w:shd w:val="clear" w:color="auto" w:fill="EFD3D2"/>
            <w:noWrap/>
            <w:vAlign w:val="center"/>
            <w:hideMark/>
          </w:tcPr>
          <w:p w14:paraId="3097CE33" w14:textId="5221B4A4" w:rsidR="00C16BBF" w:rsidRPr="004345ED" w:rsidRDefault="00C16BBF" w:rsidP="00C16BBF">
            <w:pPr>
              <w:spacing w:before="0"/>
              <w:jc w:val="right"/>
              <w:rPr>
                <w:rFonts w:cs="Arial"/>
                <w:b/>
                <w:color w:val="000000"/>
                <w:szCs w:val="20"/>
              </w:rPr>
            </w:pPr>
            <w:r w:rsidRPr="004345ED">
              <w:rPr>
                <w:rFonts w:cs="Arial"/>
                <w:b/>
                <w:color w:val="000000"/>
                <w:szCs w:val="20"/>
              </w:rPr>
              <w:t>1.34</w:t>
            </w:r>
          </w:p>
        </w:tc>
        <w:tc>
          <w:tcPr>
            <w:tcW w:w="1819" w:type="dxa"/>
            <w:shd w:val="clear" w:color="auto" w:fill="EFD3D2"/>
            <w:noWrap/>
            <w:vAlign w:val="center"/>
            <w:hideMark/>
          </w:tcPr>
          <w:p w14:paraId="4ACE39B1" w14:textId="31A2C045" w:rsidR="00C16BBF" w:rsidRPr="004345ED" w:rsidRDefault="00C16BBF" w:rsidP="00C16BBF">
            <w:pPr>
              <w:spacing w:before="0"/>
              <w:jc w:val="right"/>
              <w:rPr>
                <w:rFonts w:cs="Arial"/>
                <w:b/>
                <w:color w:val="000000"/>
                <w:szCs w:val="20"/>
              </w:rPr>
            </w:pPr>
            <w:r w:rsidRPr="004345ED">
              <w:rPr>
                <w:rFonts w:cs="Arial"/>
                <w:b/>
                <w:bCs/>
                <w:szCs w:val="20"/>
              </w:rPr>
              <w:t>1.34</w:t>
            </w:r>
          </w:p>
        </w:tc>
        <w:tc>
          <w:tcPr>
            <w:tcW w:w="1559" w:type="dxa"/>
            <w:shd w:val="clear" w:color="auto" w:fill="EFD3D2"/>
            <w:noWrap/>
            <w:vAlign w:val="center"/>
            <w:hideMark/>
          </w:tcPr>
          <w:p w14:paraId="648819DC" w14:textId="4BB6E537" w:rsidR="00C16BBF" w:rsidRPr="004345ED" w:rsidRDefault="00C16BBF" w:rsidP="00C16BBF">
            <w:pPr>
              <w:spacing w:before="0"/>
              <w:jc w:val="right"/>
              <w:rPr>
                <w:rFonts w:cs="Arial"/>
                <w:b/>
                <w:color w:val="000000"/>
                <w:szCs w:val="20"/>
              </w:rPr>
            </w:pPr>
            <w:r w:rsidRPr="004345ED">
              <w:rPr>
                <w:rFonts w:cs="Arial"/>
                <w:b/>
                <w:bCs/>
                <w:szCs w:val="20"/>
              </w:rPr>
              <w:t>1.37</w:t>
            </w:r>
          </w:p>
        </w:tc>
        <w:tc>
          <w:tcPr>
            <w:tcW w:w="1559" w:type="dxa"/>
            <w:shd w:val="clear" w:color="auto" w:fill="EFD3D2"/>
            <w:noWrap/>
            <w:vAlign w:val="center"/>
            <w:hideMark/>
          </w:tcPr>
          <w:p w14:paraId="5454EF9A" w14:textId="42845A21" w:rsidR="00C16BBF" w:rsidRPr="004345ED" w:rsidRDefault="00C16BBF" w:rsidP="00C16BBF">
            <w:pPr>
              <w:spacing w:before="0"/>
              <w:jc w:val="right"/>
              <w:rPr>
                <w:rFonts w:cs="Arial"/>
                <w:b/>
                <w:color w:val="000000"/>
                <w:szCs w:val="20"/>
              </w:rPr>
            </w:pPr>
            <w:r w:rsidRPr="004345ED">
              <w:rPr>
                <w:rFonts w:cs="Arial"/>
                <w:b/>
                <w:bCs/>
                <w:szCs w:val="20"/>
              </w:rPr>
              <w:t>1.36</w:t>
            </w:r>
          </w:p>
        </w:tc>
        <w:tc>
          <w:tcPr>
            <w:tcW w:w="1560" w:type="dxa"/>
            <w:shd w:val="clear" w:color="auto" w:fill="EFD3D2"/>
            <w:noWrap/>
            <w:vAlign w:val="center"/>
            <w:hideMark/>
          </w:tcPr>
          <w:p w14:paraId="5978C940" w14:textId="6A827416" w:rsidR="00C16BBF" w:rsidRPr="004345ED" w:rsidRDefault="00C16BBF" w:rsidP="00C16BBF">
            <w:pPr>
              <w:spacing w:before="0"/>
              <w:jc w:val="right"/>
              <w:rPr>
                <w:rFonts w:cs="Arial"/>
                <w:b/>
                <w:color w:val="000000"/>
                <w:szCs w:val="20"/>
              </w:rPr>
            </w:pPr>
            <w:r w:rsidRPr="004345ED">
              <w:rPr>
                <w:rFonts w:cs="Arial"/>
                <w:b/>
                <w:bCs/>
                <w:szCs w:val="20"/>
              </w:rPr>
              <w:t>1.34</w:t>
            </w:r>
          </w:p>
        </w:tc>
      </w:tr>
      <w:tr w:rsidR="00C16BBF" w:rsidRPr="004345ED" w14:paraId="338809FD" w14:textId="77777777" w:rsidTr="00C13E49">
        <w:trPr>
          <w:trHeight w:val="315"/>
        </w:trPr>
        <w:tc>
          <w:tcPr>
            <w:tcW w:w="1457" w:type="dxa"/>
            <w:shd w:val="clear" w:color="auto" w:fill="FFFFFF" w:themeFill="background1"/>
            <w:noWrap/>
            <w:vAlign w:val="center"/>
            <w:hideMark/>
          </w:tcPr>
          <w:p w14:paraId="2C040D56" w14:textId="77777777" w:rsidR="00C16BBF" w:rsidRPr="004345ED" w:rsidRDefault="00C16BBF" w:rsidP="00C16BBF">
            <w:pPr>
              <w:spacing w:before="0"/>
              <w:jc w:val="left"/>
              <w:rPr>
                <w:rFonts w:cs="Arial"/>
                <w:color w:val="000000"/>
                <w:szCs w:val="20"/>
              </w:rPr>
            </w:pPr>
            <w:r w:rsidRPr="004345ED">
              <w:rPr>
                <w:rFonts w:cs="Arial"/>
                <w:color w:val="000000"/>
                <w:szCs w:val="20"/>
              </w:rPr>
              <w:t>NZ</w:t>
            </w:r>
          </w:p>
        </w:tc>
        <w:tc>
          <w:tcPr>
            <w:tcW w:w="1559" w:type="dxa"/>
            <w:shd w:val="clear" w:color="auto" w:fill="FFFFFF" w:themeFill="background1"/>
            <w:noWrap/>
            <w:vAlign w:val="center"/>
            <w:hideMark/>
          </w:tcPr>
          <w:p w14:paraId="32806E71" w14:textId="3B335AD7" w:rsidR="00C16BBF" w:rsidRPr="004345ED" w:rsidRDefault="00C16BBF" w:rsidP="00C16BBF">
            <w:pPr>
              <w:spacing w:before="0"/>
              <w:jc w:val="right"/>
              <w:rPr>
                <w:rFonts w:cs="Arial"/>
                <w:color w:val="000000"/>
                <w:szCs w:val="20"/>
              </w:rPr>
            </w:pPr>
            <w:r w:rsidRPr="004345ED">
              <w:rPr>
                <w:rFonts w:cs="Arial"/>
                <w:color w:val="000000"/>
                <w:szCs w:val="20"/>
              </w:rPr>
              <w:t>0.73</w:t>
            </w:r>
          </w:p>
        </w:tc>
        <w:tc>
          <w:tcPr>
            <w:tcW w:w="1819" w:type="dxa"/>
            <w:shd w:val="clear" w:color="auto" w:fill="FFFFFF" w:themeFill="background1"/>
            <w:noWrap/>
            <w:vAlign w:val="center"/>
            <w:hideMark/>
          </w:tcPr>
          <w:p w14:paraId="0419A27F" w14:textId="29AC5080" w:rsidR="00C16BBF" w:rsidRPr="004345ED" w:rsidRDefault="00C16BBF" w:rsidP="00C16BBF">
            <w:pPr>
              <w:spacing w:before="0"/>
              <w:jc w:val="right"/>
              <w:rPr>
                <w:rFonts w:cs="Arial"/>
                <w:color w:val="000000"/>
                <w:szCs w:val="20"/>
              </w:rPr>
            </w:pPr>
            <w:r w:rsidRPr="004345ED">
              <w:rPr>
                <w:rFonts w:cs="Arial"/>
                <w:szCs w:val="20"/>
              </w:rPr>
              <w:t>0.66</w:t>
            </w:r>
          </w:p>
        </w:tc>
        <w:tc>
          <w:tcPr>
            <w:tcW w:w="1559" w:type="dxa"/>
            <w:shd w:val="clear" w:color="auto" w:fill="FFFFFF" w:themeFill="background1"/>
            <w:noWrap/>
            <w:vAlign w:val="center"/>
            <w:hideMark/>
          </w:tcPr>
          <w:p w14:paraId="667B9383" w14:textId="5299168A" w:rsidR="00C16BBF" w:rsidRPr="004345ED" w:rsidRDefault="00C16BBF" w:rsidP="00C16BBF">
            <w:pPr>
              <w:spacing w:before="0"/>
              <w:jc w:val="right"/>
              <w:rPr>
                <w:rFonts w:cs="Arial"/>
                <w:color w:val="000000"/>
                <w:szCs w:val="20"/>
              </w:rPr>
            </w:pPr>
            <w:r w:rsidRPr="004345ED">
              <w:rPr>
                <w:rFonts w:cs="Arial"/>
                <w:szCs w:val="20"/>
              </w:rPr>
              <w:t>0.57</w:t>
            </w:r>
          </w:p>
        </w:tc>
        <w:tc>
          <w:tcPr>
            <w:tcW w:w="1559" w:type="dxa"/>
            <w:shd w:val="clear" w:color="auto" w:fill="FFFFFF" w:themeFill="background1"/>
            <w:noWrap/>
            <w:vAlign w:val="center"/>
            <w:hideMark/>
          </w:tcPr>
          <w:p w14:paraId="2DD6FD54" w14:textId="56029661" w:rsidR="00C16BBF" w:rsidRPr="004345ED" w:rsidRDefault="00C16BBF" w:rsidP="00C16BBF">
            <w:pPr>
              <w:spacing w:before="0"/>
              <w:jc w:val="right"/>
              <w:rPr>
                <w:rFonts w:cs="Arial"/>
                <w:color w:val="000000"/>
                <w:szCs w:val="20"/>
              </w:rPr>
            </w:pPr>
            <w:r w:rsidRPr="004345ED">
              <w:rPr>
                <w:rFonts w:cs="Arial"/>
                <w:szCs w:val="20"/>
              </w:rPr>
              <w:t>0.57</w:t>
            </w:r>
          </w:p>
        </w:tc>
        <w:tc>
          <w:tcPr>
            <w:tcW w:w="1560" w:type="dxa"/>
            <w:shd w:val="clear" w:color="auto" w:fill="FFFFFF" w:themeFill="background1"/>
            <w:noWrap/>
            <w:vAlign w:val="center"/>
            <w:hideMark/>
          </w:tcPr>
          <w:p w14:paraId="2BC15935" w14:textId="3C4FF6CF" w:rsidR="00C16BBF" w:rsidRPr="004345ED" w:rsidRDefault="00C16BBF" w:rsidP="00C16BBF">
            <w:pPr>
              <w:spacing w:before="0"/>
              <w:jc w:val="right"/>
              <w:rPr>
                <w:rFonts w:cs="Arial"/>
                <w:color w:val="000000"/>
                <w:szCs w:val="20"/>
              </w:rPr>
            </w:pPr>
            <w:r w:rsidRPr="004345ED">
              <w:rPr>
                <w:rFonts w:cs="Arial"/>
                <w:szCs w:val="20"/>
              </w:rPr>
              <w:t>0.53</w:t>
            </w:r>
          </w:p>
        </w:tc>
      </w:tr>
    </w:tbl>
    <w:p w14:paraId="04F4108C" w14:textId="77777777" w:rsidR="00FC3DB4" w:rsidRDefault="00FC3DB4" w:rsidP="00B734CC">
      <w:pPr>
        <w:suppressAutoHyphens/>
        <w:autoSpaceDE w:val="0"/>
        <w:autoSpaceDN w:val="0"/>
        <w:adjustRightInd w:val="0"/>
        <w:spacing w:before="0"/>
        <w:textAlignment w:val="center"/>
        <w:rPr>
          <w:rFonts w:eastAsiaTheme="minorHAnsi" w:cs="Arial"/>
          <w:color w:val="000000"/>
          <w:sz w:val="16"/>
          <w:szCs w:val="16"/>
          <w:lang w:val="en-US" w:eastAsia="en-US"/>
        </w:rPr>
      </w:pPr>
    </w:p>
    <w:p w14:paraId="0AE33BCE" w14:textId="77777777" w:rsidR="009125A7"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 xml:space="preserve">(a) Total of adjusted premium for insured sector plus calculated premium for self-insured sector. </w:t>
      </w:r>
    </w:p>
    <w:p w14:paraId="487C8A1C" w14:textId="77777777" w:rsidR="009125A7"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 xml:space="preserve">(b) The NSW average premium rates also include the dust diseases levy which is not part of the New South Wales scheme but is payable by employers in that State. </w:t>
      </w:r>
    </w:p>
    <w:p w14:paraId="4A0736E2" w14:textId="1AFE465C" w:rsidR="00C16BBF" w:rsidRDefault="00B734CC" w:rsidP="00B734CC">
      <w:pPr>
        <w:suppressAutoHyphens/>
        <w:autoSpaceDE w:val="0"/>
        <w:autoSpaceDN w:val="0"/>
        <w:adjustRightInd w:val="0"/>
        <w:spacing w:before="0"/>
        <w:textAlignment w:val="center"/>
        <w:rPr>
          <w:rFonts w:eastAsiaTheme="minorHAnsi" w:cs="Arial"/>
          <w:color w:val="000000"/>
          <w:sz w:val="16"/>
          <w:szCs w:val="16"/>
          <w:lang w:val="en-US" w:eastAsia="en-US"/>
        </w:rPr>
      </w:pPr>
      <w:r w:rsidRPr="00B734CC">
        <w:rPr>
          <w:rFonts w:eastAsiaTheme="minorHAnsi" w:cs="Arial"/>
          <w:color w:val="000000"/>
          <w:sz w:val="16"/>
          <w:szCs w:val="16"/>
          <w:lang w:val="en-US" w:eastAsia="en-US"/>
        </w:rPr>
        <w:t>(c) Queensland includes stamp duty levied at a rate of 5</w:t>
      </w:r>
      <w:r w:rsidR="000B150E">
        <w:rPr>
          <w:rFonts w:eastAsiaTheme="minorHAnsi" w:cs="Arial"/>
          <w:color w:val="000000"/>
          <w:sz w:val="16"/>
          <w:szCs w:val="16"/>
          <w:lang w:val="en-US" w:eastAsia="en-US"/>
        </w:rPr>
        <w:t>%</w:t>
      </w:r>
      <w:r w:rsidRPr="00B734CC">
        <w:rPr>
          <w:rFonts w:eastAsiaTheme="minorHAnsi" w:cs="Arial"/>
          <w:color w:val="000000"/>
          <w:sz w:val="16"/>
          <w:szCs w:val="16"/>
          <w:lang w:val="en-US" w:eastAsia="en-US"/>
        </w:rPr>
        <w:t xml:space="preserve"> of the premium including GST. </w:t>
      </w:r>
    </w:p>
    <w:p w14:paraId="27DE075F" w14:textId="3E059C6A" w:rsidR="00C16BBF" w:rsidRDefault="00C16BBF">
      <w:pPr>
        <w:spacing w:before="0" w:after="200" w:line="276" w:lineRule="auto"/>
        <w:jc w:val="left"/>
        <w:rPr>
          <w:rFonts w:eastAsiaTheme="minorHAnsi" w:cs="Arial"/>
          <w:color w:val="000000"/>
          <w:sz w:val="16"/>
          <w:szCs w:val="16"/>
          <w:lang w:val="en-US" w:eastAsia="en-US"/>
        </w:rPr>
      </w:pPr>
    </w:p>
    <w:sectPr w:rsidR="00C16BBF" w:rsidSect="00FA3BBC">
      <w:headerReference w:type="first" r:id="rId66"/>
      <w:pgSz w:w="11906" w:h="16838"/>
      <w:pgMar w:top="1440" w:right="1274" w:bottom="1276"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2D46B" w14:textId="77777777" w:rsidR="008C4ED4" w:rsidRDefault="008C4ED4" w:rsidP="003411E8">
      <w:r>
        <w:separator/>
      </w:r>
    </w:p>
  </w:endnote>
  <w:endnote w:type="continuationSeparator" w:id="0">
    <w:p w14:paraId="2C0DE919" w14:textId="77777777" w:rsidR="008C4ED4" w:rsidRDefault="008C4ED4"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824724"/>
      <w:docPartObj>
        <w:docPartGallery w:val="Page Numbers (Bottom of Page)"/>
        <w:docPartUnique/>
      </w:docPartObj>
    </w:sdtPr>
    <w:sdtEndPr>
      <w:rPr>
        <w:noProof/>
      </w:rPr>
    </w:sdtEndPr>
    <w:sdtContent>
      <w:p w14:paraId="57A2E338" w14:textId="4350A113" w:rsidR="00F85465" w:rsidRDefault="00120475">
        <w:pPr>
          <w:pStyle w:val="Footer"/>
          <w:jc w:val="right"/>
        </w:pPr>
        <w:r>
          <w:rPr>
            <w:color w:val="FF0000"/>
          </w:rPr>
          <w:tab/>
        </w:r>
        <w:r>
          <w:rPr>
            <w:color w:val="FF0000"/>
          </w:rPr>
          <w:tab/>
        </w:r>
        <w:r w:rsidR="00F85465">
          <w:fldChar w:fldCharType="begin"/>
        </w:r>
        <w:r w:rsidR="00F85465">
          <w:instrText xml:space="preserve"> PAGE   \* MERGEFORMAT </w:instrText>
        </w:r>
        <w:r w:rsidR="00F85465">
          <w:fldChar w:fldCharType="separate"/>
        </w:r>
        <w:r w:rsidR="00F85465">
          <w:rPr>
            <w:noProof/>
          </w:rPr>
          <w:t>2</w:t>
        </w:r>
        <w:r w:rsidR="00F85465">
          <w:rPr>
            <w:noProof/>
          </w:rPr>
          <w:fldChar w:fldCharType="end"/>
        </w:r>
      </w:p>
    </w:sdtContent>
  </w:sdt>
  <w:p w14:paraId="54F6DA24" w14:textId="77777777" w:rsidR="00F85465" w:rsidRDefault="00F85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526014"/>
      <w:docPartObj>
        <w:docPartGallery w:val="Page Numbers (Bottom of Page)"/>
        <w:docPartUnique/>
      </w:docPartObj>
    </w:sdtPr>
    <w:sdtEndPr>
      <w:rPr>
        <w:noProof/>
      </w:rPr>
    </w:sdtEndPr>
    <w:sdtContent>
      <w:p w14:paraId="4387B224" w14:textId="33764819" w:rsidR="00F85465" w:rsidRPr="00510E89" w:rsidRDefault="00120475" w:rsidP="004D5E09">
        <w:pPr>
          <w:pStyle w:val="Footer"/>
          <w:jc w:val="right"/>
        </w:pPr>
        <w:r>
          <w:rPr>
            <w:color w:val="FF0000"/>
          </w:rPr>
          <w:tab/>
        </w:r>
        <w:r>
          <w:rPr>
            <w:color w:val="FF0000"/>
          </w:rPr>
          <w:tab/>
        </w:r>
        <w:r w:rsidR="00F85465">
          <w:fldChar w:fldCharType="begin"/>
        </w:r>
        <w:r w:rsidR="00F85465">
          <w:instrText xml:space="preserve"> PAGE   \* MERGEFORMAT </w:instrText>
        </w:r>
        <w:r w:rsidR="00F85465">
          <w:fldChar w:fldCharType="separate"/>
        </w:r>
        <w:r w:rsidR="00F85465">
          <w:rPr>
            <w:noProof/>
          </w:rPr>
          <w:t>6</w:t>
        </w:r>
        <w:r w:rsidR="00F85465">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997140"/>
      <w:docPartObj>
        <w:docPartGallery w:val="Page Numbers (Bottom of Page)"/>
        <w:docPartUnique/>
      </w:docPartObj>
    </w:sdtPr>
    <w:sdtEndPr>
      <w:rPr>
        <w:noProof/>
      </w:rPr>
    </w:sdtEndPr>
    <w:sdtContent>
      <w:p w14:paraId="6ED38C7E" w14:textId="77777777" w:rsidR="00F85465" w:rsidRPr="00FF48E0" w:rsidRDefault="00F85465" w:rsidP="00B94996">
        <w:pPr>
          <w:pStyle w:val="Footer"/>
        </w:pPr>
        <w:r w:rsidRPr="00FF48E0">
          <w:t>Comparative Performance Monitoring 18</w:t>
        </w:r>
        <w:r w:rsidRPr="00FF48E0">
          <w:rPr>
            <w:vertAlign w:val="superscript"/>
          </w:rPr>
          <w:t>th</w:t>
        </w:r>
        <w:r w:rsidRPr="00FF48E0">
          <w:t xml:space="preserve"> Edition</w:t>
        </w:r>
        <w:r>
          <w:t xml:space="preserve"> (revised July 2017)</w:t>
        </w:r>
        <w:r w:rsidRPr="00FF48E0">
          <w:tab/>
        </w:r>
        <w:r w:rsidRPr="00FF48E0">
          <w:fldChar w:fldCharType="begin"/>
        </w:r>
        <w:r w:rsidRPr="00FF48E0">
          <w:instrText xml:space="preserve"> PAGE   \* MERGEFORMAT </w:instrText>
        </w:r>
        <w:r w:rsidRPr="00FF48E0">
          <w:fldChar w:fldCharType="separate"/>
        </w:r>
        <w:r>
          <w:rPr>
            <w:noProof/>
          </w:rPr>
          <w:t>26</w:t>
        </w:r>
        <w:r w:rsidRPr="00FF48E0">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14E0" w14:textId="032254AF" w:rsidR="00F85465" w:rsidRPr="00FF48E0" w:rsidRDefault="00F85465" w:rsidP="00B94996">
    <w:pPr>
      <w:pStyle w:val="Footer"/>
    </w:pPr>
    <w:r w:rsidRPr="00FF48E0">
      <w:tab/>
    </w:r>
    <w:r w:rsidRPr="00FF48E0">
      <w:tab/>
    </w:r>
    <w:sdt>
      <w:sdtPr>
        <w:id w:val="370356393"/>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9</w:t>
        </w:r>
        <w:r w:rsidRPr="00FF48E0">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9386" w14:textId="52704BE1" w:rsidR="00F85465" w:rsidRPr="00483E56" w:rsidRDefault="00F85465" w:rsidP="004019E9">
    <w:pPr>
      <w:pStyle w:val="Footer"/>
    </w:pPr>
    <w:r>
      <w:tab/>
    </w:r>
    <w:r w:rsidRPr="00FF48E0">
      <w:tab/>
    </w:r>
    <w:sdt>
      <w:sdtPr>
        <w:id w:val="242619340"/>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8</w:t>
        </w:r>
        <w:r w:rsidRPr="00FF48E0">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8624" w14:textId="436F5E5C" w:rsidR="00F85465" w:rsidRPr="00483E56" w:rsidRDefault="00F85465" w:rsidP="000F6210">
    <w:pPr>
      <w:pStyle w:val="Footer"/>
      <w:tabs>
        <w:tab w:val="clear" w:pos="4513"/>
        <w:tab w:val="clear" w:pos="9026"/>
        <w:tab w:val="center" w:pos="14175"/>
      </w:tabs>
    </w:pPr>
    <w:r>
      <w:tab/>
    </w:r>
    <w:sdt>
      <w:sdtPr>
        <w:id w:val="-1231995516"/>
        <w:docPartObj>
          <w:docPartGallery w:val="Page Numbers (Bottom of Page)"/>
          <w:docPartUnique/>
        </w:docPartObj>
      </w:sdtPr>
      <w:sdtEndPr>
        <w:rPr>
          <w:noProof/>
        </w:rPr>
      </w:sdtEndPr>
      <w:sdtContent>
        <w:r w:rsidRPr="00FF48E0">
          <w:fldChar w:fldCharType="begin"/>
        </w:r>
        <w:r w:rsidRPr="00FF48E0">
          <w:instrText xml:space="preserve"> PAGE   \* MERGEFORMAT </w:instrText>
        </w:r>
        <w:r w:rsidRPr="00FF48E0">
          <w:fldChar w:fldCharType="separate"/>
        </w:r>
        <w:r>
          <w:rPr>
            <w:noProof/>
          </w:rPr>
          <w:t>10</w:t>
        </w:r>
        <w:r w:rsidRPr="00FF48E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23E43" w14:textId="77777777" w:rsidR="008C4ED4" w:rsidRDefault="008C4ED4" w:rsidP="003411E8">
      <w:r>
        <w:separator/>
      </w:r>
    </w:p>
  </w:footnote>
  <w:footnote w:type="continuationSeparator" w:id="0">
    <w:p w14:paraId="523EC033" w14:textId="77777777" w:rsidR="008C4ED4" w:rsidRDefault="008C4ED4"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F42D" w14:textId="77777777" w:rsidR="00F85465" w:rsidRDefault="00F85465"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787B" w14:textId="77777777" w:rsidR="00F85465" w:rsidRPr="00FF48E0" w:rsidRDefault="00F85465" w:rsidP="00B94996">
    <w:pPr>
      <w:pStyle w:val="Header"/>
    </w:pPr>
    <w:r w:rsidRPr="00FF48E0">
      <w:t>Workers’ compensation scheme performance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3C31" w14:textId="77777777" w:rsidR="00F85465" w:rsidRPr="002148A2" w:rsidRDefault="00F85465" w:rsidP="00B949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4032" w14:textId="77777777" w:rsidR="00F85465" w:rsidRPr="000D6079" w:rsidRDefault="00F85465" w:rsidP="00B94996">
    <w:pPr>
      <w:pStyle w:val="HeaderChapterStar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2A02" w14:textId="77777777" w:rsidR="00F85465" w:rsidRDefault="00F85465"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634B"/>
    <w:multiLevelType w:val="hybridMultilevel"/>
    <w:tmpl w:val="EF88D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61204"/>
    <w:multiLevelType w:val="hybridMultilevel"/>
    <w:tmpl w:val="A330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67BE7"/>
    <w:multiLevelType w:val="hybridMultilevel"/>
    <w:tmpl w:val="6BF03E0C"/>
    <w:lvl w:ilvl="0" w:tplc="A09879D2">
      <w:start w:val="1"/>
      <w:numFmt w:val="lowerLetter"/>
      <w:pStyle w:val="Footnotecompressed"/>
      <w:lvlText w:val="(%1)"/>
      <w:lvlJc w:val="left"/>
      <w:pPr>
        <w:ind w:left="786"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F22DD"/>
    <w:multiLevelType w:val="hybridMultilevel"/>
    <w:tmpl w:val="87843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840F9C"/>
    <w:multiLevelType w:val="hybridMultilevel"/>
    <w:tmpl w:val="E80E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135DA9"/>
    <w:multiLevelType w:val="hybridMultilevel"/>
    <w:tmpl w:val="D89A3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D1847"/>
    <w:multiLevelType w:val="hybridMultilevel"/>
    <w:tmpl w:val="32EE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35C50"/>
    <w:multiLevelType w:val="hybridMultilevel"/>
    <w:tmpl w:val="60425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D7173"/>
    <w:multiLevelType w:val="hybridMultilevel"/>
    <w:tmpl w:val="4626A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841FF"/>
    <w:multiLevelType w:val="multilevel"/>
    <w:tmpl w:val="306E4E4C"/>
    <w:lvl w:ilvl="0">
      <w:start w:val="1"/>
      <w:numFmt w:val="bullet"/>
      <w:pStyle w:val="Bullets1"/>
      <w:lvlText w:val=""/>
      <w:lvlJc w:val="left"/>
      <w:pPr>
        <w:tabs>
          <w:tab w:val="num" w:pos="568"/>
        </w:tabs>
        <w:ind w:left="994" w:hanging="426"/>
      </w:pPr>
      <w:rPr>
        <w:rFonts w:ascii="Symbol" w:hAnsi="Symbol" w:hint="default"/>
        <w:u w:color="1C365F"/>
      </w:rPr>
    </w:lvl>
    <w:lvl w:ilvl="1">
      <w:start w:val="1"/>
      <w:numFmt w:val="bullet"/>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5922DAC"/>
    <w:multiLevelType w:val="hybridMultilevel"/>
    <w:tmpl w:val="C730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2A79A2"/>
    <w:multiLevelType w:val="hybridMultilevel"/>
    <w:tmpl w:val="42B22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515F80"/>
    <w:multiLevelType w:val="hybridMultilevel"/>
    <w:tmpl w:val="A1B0712E"/>
    <w:lvl w:ilvl="0" w:tplc="4A66B4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1A28C8"/>
    <w:multiLevelType w:val="hybridMultilevel"/>
    <w:tmpl w:val="79FC4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32CBE"/>
    <w:multiLevelType w:val="hybridMultilevel"/>
    <w:tmpl w:val="4168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0A27F3"/>
    <w:multiLevelType w:val="hybridMultilevel"/>
    <w:tmpl w:val="7DB6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0966E9"/>
    <w:multiLevelType w:val="hybridMultilevel"/>
    <w:tmpl w:val="6C7C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FE82D8E"/>
    <w:multiLevelType w:val="hybridMultilevel"/>
    <w:tmpl w:val="9AB82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FA50B6"/>
    <w:multiLevelType w:val="hybridMultilevel"/>
    <w:tmpl w:val="5BA8B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2735FC"/>
    <w:multiLevelType w:val="hybridMultilevel"/>
    <w:tmpl w:val="63E80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2079F5"/>
    <w:multiLevelType w:val="hybridMultilevel"/>
    <w:tmpl w:val="E850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006A34"/>
    <w:multiLevelType w:val="hybridMultilevel"/>
    <w:tmpl w:val="498AC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744993"/>
    <w:multiLevelType w:val="hybridMultilevel"/>
    <w:tmpl w:val="88885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B623D7"/>
    <w:multiLevelType w:val="hybridMultilevel"/>
    <w:tmpl w:val="5226F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EC1092"/>
    <w:multiLevelType w:val="hybridMultilevel"/>
    <w:tmpl w:val="C6068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35E50"/>
    <w:multiLevelType w:val="hybridMultilevel"/>
    <w:tmpl w:val="D68A12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9D142FF"/>
    <w:multiLevelType w:val="hybridMultilevel"/>
    <w:tmpl w:val="DFECF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137DFE"/>
    <w:multiLevelType w:val="multilevel"/>
    <w:tmpl w:val="4BDA3DC4"/>
    <w:numStyleLink w:val="SecNumb"/>
  </w:abstractNum>
  <w:abstractNum w:abstractNumId="31" w15:restartNumberingAfterBreak="0">
    <w:nsid w:val="6C0B2CF4"/>
    <w:multiLevelType w:val="hybridMultilevel"/>
    <w:tmpl w:val="7D64D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621323"/>
    <w:multiLevelType w:val="hybridMultilevel"/>
    <w:tmpl w:val="B08EC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85F291E"/>
    <w:multiLevelType w:val="hybridMultilevel"/>
    <w:tmpl w:val="3ED83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3510079">
    <w:abstractNumId w:val="8"/>
  </w:num>
  <w:num w:numId="2" w16cid:durableId="1823349065">
    <w:abstractNumId w:val="9"/>
  </w:num>
  <w:num w:numId="3" w16cid:durableId="691762622">
    <w:abstractNumId w:val="19"/>
  </w:num>
  <w:num w:numId="4" w16cid:durableId="166601284">
    <w:abstractNumId w:val="33"/>
  </w:num>
  <w:num w:numId="5" w16cid:durableId="106658845">
    <w:abstractNumId w:val="30"/>
  </w:num>
  <w:num w:numId="6" w16cid:durableId="1531643981">
    <w:abstractNumId w:val="1"/>
  </w:num>
  <w:num w:numId="7" w16cid:durableId="554393384">
    <w:abstractNumId w:val="2"/>
  </w:num>
  <w:num w:numId="8" w16cid:durableId="1564411683">
    <w:abstractNumId w:val="11"/>
  </w:num>
  <w:num w:numId="9" w16cid:durableId="874391111">
    <w:abstractNumId w:val="12"/>
  </w:num>
  <w:num w:numId="10" w16cid:durableId="1788701265">
    <w:abstractNumId w:val="28"/>
  </w:num>
  <w:num w:numId="11" w16cid:durableId="1093823207">
    <w:abstractNumId w:val="3"/>
  </w:num>
  <w:num w:numId="12" w16cid:durableId="195197654">
    <w:abstractNumId w:val="16"/>
  </w:num>
  <w:num w:numId="13" w16cid:durableId="2085183875">
    <w:abstractNumId w:val="29"/>
  </w:num>
  <w:num w:numId="14" w16cid:durableId="1128358637">
    <w:abstractNumId w:val="14"/>
  </w:num>
  <w:num w:numId="15" w16cid:durableId="1062827414">
    <w:abstractNumId w:val="17"/>
  </w:num>
  <w:num w:numId="16" w16cid:durableId="1033454641">
    <w:abstractNumId w:val="0"/>
  </w:num>
  <w:num w:numId="17" w16cid:durableId="1061444932">
    <w:abstractNumId w:val="26"/>
  </w:num>
  <w:num w:numId="18" w16cid:durableId="149560433">
    <w:abstractNumId w:val="23"/>
  </w:num>
  <w:num w:numId="19" w16cid:durableId="1611012246">
    <w:abstractNumId w:val="27"/>
  </w:num>
  <w:num w:numId="20" w16cid:durableId="1365867704">
    <w:abstractNumId w:val="22"/>
  </w:num>
  <w:num w:numId="21" w16cid:durableId="1236823061">
    <w:abstractNumId w:val="21"/>
  </w:num>
  <w:num w:numId="22" w16cid:durableId="1695693350">
    <w:abstractNumId w:val="13"/>
  </w:num>
  <w:num w:numId="23" w16cid:durableId="596787550">
    <w:abstractNumId w:val="31"/>
  </w:num>
  <w:num w:numId="24" w16cid:durableId="1450392230">
    <w:abstractNumId w:val="25"/>
  </w:num>
  <w:num w:numId="25" w16cid:durableId="955059462">
    <w:abstractNumId w:val="18"/>
  </w:num>
  <w:num w:numId="26" w16cid:durableId="1903248290">
    <w:abstractNumId w:val="32"/>
  </w:num>
  <w:num w:numId="27" w16cid:durableId="1595625123">
    <w:abstractNumId w:val="20"/>
  </w:num>
  <w:num w:numId="28" w16cid:durableId="911625715">
    <w:abstractNumId w:val="5"/>
  </w:num>
  <w:num w:numId="29" w16cid:durableId="85348806">
    <w:abstractNumId w:val="7"/>
  </w:num>
  <w:num w:numId="30" w16cid:durableId="189611206">
    <w:abstractNumId w:val="4"/>
  </w:num>
  <w:num w:numId="31" w16cid:durableId="1465657078">
    <w:abstractNumId w:val="30"/>
  </w:num>
  <w:num w:numId="32" w16cid:durableId="420762141">
    <w:abstractNumId w:val="6"/>
  </w:num>
  <w:num w:numId="33" w16cid:durableId="1994796715">
    <w:abstractNumId w:val="15"/>
  </w:num>
  <w:num w:numId="34" w16cid:durableId="3677938">
    <w:abstractNumId w:val="10"/>
  </w:num>
  <w:num w:numId="35" w16cid:durableId="1581329937">
    <w:abstractNumId w:val="34"/>
  </w:num>
  <w:num w:numId="36" w16cid:durableId="18410367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2142"/>
    <w:rsid w:val="00002A2E"/>
    <w:rsid w:val="00003613"/>
    <w:rsid w:val="00004CA1"/>
    <w:rsid w:val="00005424"/>
    <w:rsid w:val="0000542B"/>
    <w:rsid w:val="00005704"/>
    <w:rsid w:val="00005B0F"/>
    <w:rsid w:val="000071CC"/>
    <w:rsid w:val="000074E3"/>
    <w:rsid w:val="00007583"/>
    <w:rsid w:val="000079B3"/>
    <w:rsid w:val="00010AEC"/>
    <w:rsid w:val="00010AF8"/>
    <w:rsid w:val="0001125E"/>
    <w:rsid w:val="00011F80"/>
    <w:rsid w:val="0001232D"/>
    <w:rsid w:val="0001290D"/>
    <w:rsid w:val="0001354B"/>
    <w:rsid w:val="00013EDF"/>
    <w:rsid w:val="0001455F"/>
    <w:rsid w:val="00014BCC"/>
    <w:rsid w:val="00016364"/>
    <w:rsid w:val="00017C0D"/>
    <w:rsid w:val="00020DBC"/>
    <w:rsid w:val="00020EC4"/>
    <w:rsid w:val="0002278D"/>
    <w:rsid w:val="00023393"/>
    <w:rsid w:val="000234ED"/>
    <w:rsid w:val="000249B5"/>
    <w:rsid w:val="00025B7C"/>
    <w:rsid w:val="000265B3"/>
    <w:rsid w:val="000267EE"/>
    <w:rsid w:val="0003038D"/>
    <w:rsid w:val="00030D32"/>
    <w:rsid w:val="00030E7D"/>
    <w:rsid w:val="0003157E"/>
    <w:rsid w:val="00031A69"/>
    <w:rsid w:val="00031D5C"/>
    <w:rsid w:val="00032DFA"/>
    <w:rsid w:val="0003357D"/>
    <w:rsid w:val="0003376C"/>
    <w:rsid w:val="00033D19"/>
    <w:rsid w:val="00033D6A"/>
    <w:rsid w:val="0003484B"/>
    <w:rsid w:val="00034C08"/>
    <w:rsid w:val="00035359"/>
    <w:rsid w:val="00035ED1"/>
    <w:rsid w:val="00036775"/>
    <w:rsid w:val="0003756A"/>
    <w:rsid w:val="00037F42"/>
    <w:rsid w:val="00040488"/>
    <w:rsid w:val="00040D5C"/>
    <w:rsid w:val="00041D87"/>
    <w:rsid w:val="000420FA"/>
    <w:rsid w:val="00042A57"/>
    <w:rsid w:val="00042C54"/>
    <w:rsid w:val="00042E62"/>
    <w:rsid w:val="00043041"/>
    <w:rsid w:val="0004347D"/>
    <w:rsid w:val="0004353B"/>
    <w:rsid w:val="0004361B"/>
    <w:rsid w:val="00043F4A"/>
    <w:rsid w:val="00044E95"/>
    <w:rsid w:val="000452DF"/>
    <w:rsid w:val="0004539E"/>
    <w:rsid w:val="000456FF"/>
    <w:rsid w:val="00046257"/>
    <w:rsid w:val="000467E1"/>
    <w:rsid w:val="0004681F"/>
    <w:rsid w:val="00046B73"/>
    <w:rsid w:val="00046C81"/>
    <w:rsid w:val="00046D4A"/>
    <w:rsid w:val="00046F11"/>
    <w:rsid w:val="00047378"/>
    <w:rsid w:val="00047850"/>
    <w:rsid w:val="00050126"/>
    <w:rsid w:val="00050E52"/>
    <w:rsid w:val="0005126F"/>
    <w:rsid w:val="00051D24"/>
    <w:rsid w:val="0005254B"/>
    <w:rsid w:val="0005333A"/>
    <w:rsid w:val="00053A68"/>
    <w:rsid w:val="00054C80"/>
    <w:rsid w:val="0005648F"/>
    <w:rsid w:val="0005685A"/>
    <w:rsid w:val="00056A93"/>
    <w:rsid w:val="00056E45"/>
    <w:rsid w:val="00057827"/>
    <w:rsid w:val="0005783F"/>
    <w:rsid w:val="000604A5"/>
    <w:rsid w:val="00061DA7"/>
    <w:rsid w:val="00063228"/>
    <w:rsid w:val="0006464F"/>
    <w:rsid w:val="00064879"/>
    <w:rsid w:val="00064D46"/>
    <w:rsid w:val="00065C06"/>
    <w:rsid w:val="00065C3D"/>
    <w:rsid w:val="00066C33"/>
    <w:rsid w:val="00067819"/>
    <w:rsid w:val="00070430"/>
    <w:rsid w:val="000705CB"/>
    <w:rsid w:val="00071A12"/>
    <w:rsid w:val="00071DBA"/>
    <w:rsid w:val="00072117"/>
    <w:rsid w:val="00072A40"/>
    <w:rsid w:val="00072F28"/>
    <w:rsid w:val="0007375D"/>
    <w:rsid w:val="000756FA"/>
    <w:rsid w:val="0007618B"/>
    <w:rsid w:val="000764B2"/>
    <w:rsid w:val="00076580"/>
    <w:rsid w:val="00077134"/>
    <w:rsid w:val="00077148"/>
    <w:rsid w:val="00077203"/>
    <w:rsid w:val="0007727D"/>
    <w:rsid w:val="00077368"/>
    <w:rsid w:val="00077B46"/>
    <w:rsid w:val="00077BDA"/>
    <w:rsid w:val="00077E05"/>
    <w:rsid w:val="0008023C"/>
    <w:rsid w:val="0008137D"/>
    <w:rsid w:val="000832FC"/>
    <w:rsid w:val="00083F58"/>
    <w:rsid w:val="00086275"/>
    <w:rsid w:val="00086EAB"/>
    <w:rsid w:val="000871BA"/>
    <w:rsid w:val="00087E20"/>
    <w:rsid w:val="00091258"/>
    <w:rsid w:val="00092037"/>
    <w:rsid w:val="00094284"/>
    <w:rsid w:val="0009505E"/>
    <w:rsid w:val="00095E5B"/>
    <w:rsid w:val="00097E2F"/>
    <w:rsid w:val="000A0468"/>
    <w:rsid w:val="000A17E0"/>
    <w:rsid w:val="000A1B88"/>
    <w:rsid w:val="000A2834"/>
    <w:rsid w:val="000A2EDF"/>
    <w:rsid w:val="000A34EC"/>
    <w:rsid w:val="000A3630"/>
    <w:rsid w:val="000A3B0D"/>
    <w:rsid w:val="000A3E4B"/>
    <w:rsid w:val="000A504C"/>
    <w:rsid w:val="000A601B"/>
    <w:rsid w:val="000A62C5"/>
    <w:rsid w:val="000A76CB"/>
    <w:rsid w:val="000A7A70"/>
    <w:rsid w:val="000A7E83"/>
    <w:rsid w:val="000A7F5B"/>
    <w:rsid w:val="000B016A"/>
    <w:rsid w:val="000B1179"/>
    <w:rsid w:val="000B150E"/>
    <w:rsid w:val="000B1BBF"/>
    <w:rsid w:val="000B211B"/>
    <w:rsid w:val="000B343D"/>
    <w:rsid w:val="000B3499"/>
    <w:rsid w:val="000B4534"/>
    <w:rsid w:val="000B49D5"/>
    <w:rsid w:val="000B4D26"/>
    <w:rsid w:val="000B4FE5"/>
    <w:rsid w:val="000B53FF"/>
    <w:rsid w:val="000B5A03"/>
    <w:rsid w:val="000B5ACE"/>
    <w:rsid w:val="000B5B63"/>
    <w:rsid w:val="000B5E15"/>
    <w:rsid w:val="000C035C"/>
    <w:rsid w:val="000C14D3"/>
    <w:rsid w:val="000C18C0"/>
    <w:rsid w:val="000C1B52"/>
    <w:rsid w:val="000C47CC"/>
    <w:rsid w:val="000C5031"/>
    <w:rsid w:val="000C57A9"/>
    <w:rsid w:val="000C5B47"/>
    <w:rsid w:val="000C68E0"/>
    <w:rsid w:val="000C79F4"/>
    <w:rsid w:val="000D051B"/>
    <w:rsid w:val="000D1084"/>
    <w:rsid w:val="000D1902"/>
    <w:rsid w:val="000D1EDA"/>
    <w:rsid w:val="000D29EE"/>
    <w:rsid w:val="000D34EF"/>
    <w:rsid w:val="000D3C06"/>
    <w:rsid w:val="000D49B9"/>
    <w:rsid w:val="000D4F03"/>
    <w:rsid w:val="000D7590"/>
    <w:rsid w:val="000D7DA8"/>
    <w:rsid w:val="000E0E7C"/>
    <w:rsid w:val="000E0F9F"/>
    <w:rsid w:val="000E109F"/>
    <w:rsid w:val="000E1AC8"/>
    <w:rsid w:val="000E20AE"/>
    <w:rsid w:val="000E2D3E"/>
    <w:rsid w:val="000E367F"/>
    <w:rsid w:val="000E450D"/>
    <w:rsid w:val="000E634D"/>
    <w:rsid w:val="000E706E"/>
    <w:rsid w:val="000E7A5B"/>
    <w:rsid w:val="000F048B"/>
    <w:rsid w:val="000F0EC5"/>
    <w:rsid w:val="000F1AAB"/>
    <w:rsid w:val="000F20D7"/>
    <w:rsid w:val="000F219B"/>
    <w:rsid w:val="000F21B6"/>
    <w:rsid w:val="000F307F"/>
    <w:rsid w:val="000F34B7"/>
    <w:rsid w:val="000F3FD3"/>
    <w:rsid w:val="000F40B9"/>
    <w:rsid w:val="000F4919"/>
    <w:rsid w:val="000F54FC"/>
    <w:rsid w:val="000F5B9F"/>
    <w:rsid w:val="000F6210"/>
    <w:rsid w:val="000F74D0"/>
    <w:rsid w:val="0010011C"/>
    <w:rsid w:val="001004DA"/>
    <w:rsid w:val="00100AF4"/>
    <w:rsid w:val="00102259"/>
    <w:rsid w:val="001025F1"/>
    <w:rsid w:val="0010291A"/>
    <w:rsid w:val="00103DD7"/>
    <w:rsid w:val="001042B2"/>
    <w:rsid w:val="0010496A"/>
    <w:rsid w:val="001051D0"/>
    <w:rsid w:val="00105DE2"/>
    <w:rsid w:val="00106163"/>
    <w:rsid w:val="001072B4"/>
    <w:rsid w:val="001109DA"/>
    <w:rsid w:val="00110C77"/>
    <w:rsid w:val="00111980"/>
    <w:rsid w:val="00114EAA"/>
    <w:rsid w:val="001151AD"/>
    <w:rsid w:val="001152AF"/>
    <w:rsid w:val="00116D33"/>
    <w:rsid w:val="00117CAF"/>
    <w:rsid w:val="00120475"/>
    <w:rsid w:val="00120B3F"/>
    <w:rsid w:val="0012134D"/>
    <w:rsid w:val="00121487"/>
    <w:rsid w:val="0012227C"/>
    <w:rsid w:val="0012381A"/>
    <w:rsid w:val="001245D6"/>
    <w:rsid w:val="00124A12"/>
    <w:rsid w:val="001251A8"/>
    <w:rsid w:val="00126416"/>
    <w:rsid w:val="00126CAB"/>
    <w:rsid w:val="0012779C"/>
    <w:rsid w:val="00130A8A"/>
    <w:rsid w:val="00130F4E"/>
    <w:rsid w:val="001326EE"/>
    <w:rsid w:val="001332C9"/>
    <w:rsid w:val="0013431C"/>
    <w:rsid w:val="00134D78"/>
    <w:rsid w:val="001352EA"/>
    <w:rsid w:val="001365F6"/>
    <w:rsid w:val="00136733"/>
    <w:rsid w:val="00137A05"/>
    <w:rsid w:val="0014102D"/>
    <w:rsid w:val="00141437"/>
    <w:rsid w:val="0014173C"/>
    <w:rsid w:val="001419AB"/>
    <w:rsid w:val="00142738"/>
    <w:rsid w:val="001428DD"/>
    <w:rsid w:val="001429E4"/>
    <w:rsid w:val="00142B5E"/>
    <w:rsid w:val="00142CBA"/>
    <w:rsid w:val="0014356C"/>
    <w:rsid w:val="00143E4C"/>
    <w:rsid w:val="00144693"/>
    <w:rsid w:val="00144CE7"/>
    <w:rsid w:val="00145692"/>
    <w:rsid w:val="001461B4"/>
    <w:rsid w:val="001472A2"/>
    <w:rsid w:val="00150190"/>
    <w:rsid w:val="0015143C"/>
    <w:rsid w:val="00152A62"/>
    <w:rsid w:val="00154183"/>
    <w:rsid w:val="00154624"/>
    <w:rsid w:val="00155389"/>
    <w:rsid w:val="00155712"/>
    <w:rsid w:val="00156178"/>
    <w:rsid w:val="0015619C"/>
    <w:rsid w:val="0015627E"/>
    <w:rsid w:val="0015650A"/>
    <w:rsid w:val="00156A97"/>
    <w:rsid w:val="001576DC"/>
    <w:rsid w:val="00157B32"/>
    <w:rsid w:val="0016040C"/>
    <w:rsid w:val="00160B79"/>
    <w:rsid w:val="0016219B"/>
    <w:rsid w:val="00162AE2"/>
    <w:rsid w:val="00163F56"/>
    <w:rsid w:val="001640C3"/>
    <w:rsid w:val="00164531"/>
    <w:rsid w:val="001649A1"/>
    <w:rsid w:val="00165FD8"/>
    <w:rsid w:val="00166316"/>
    <w:rsid w:val="001665F1"/>
    <w:rsid w:val="00166732"/>
    <w:rsid w:val="001667E8"/>
    <w:rsid w:val="001669C8"/>
    <w:rsid w:val="00166D73"/>
    <w:rsid w:val="00167429"/>
    <w:rsid w:val="00167D53"/>
    <w:rsid w:val="0017094E"/>
    <w:rsid w:val="0017103A"/>
    <w:rsid w:val="001722F1"/>
    <w:rsid w:val="001737DD"/>
    <w:rsid w:val="00175037"/>
    <w:rsid w:val="001769F7"/>
    <w:rsid w:val="00176D45"/>
    <w:rsid w:val="0018113B"/>
    <w:rsid w:val="0018357A"/>
    <w:rsid w:val="00183924"/>
    <w:rsid w:val="0018666A"/>
    <w:rsid w:val="00187364"/>
    <w:rsid w:val="00187D32"/>
    <w:rsid w:val="00190CD1"/>
    <w:rsid w:val="00191111"/>
    <w:rsid w:val="00191B46"/>
    <w:rsid w:val="001921CF"/>
    <w:rsid w:val="00192F65"/>
    <w:rsid w:val="001941A3"/>
    <w:rsid w:val="00194ED6"/>
    <w:rsid w:val="0019511C"/>
    <w:rsid w:val="001952AD"/>
    <w:rsid w:val="00195CAF"/>
    <w:rsid w:val="00195D58"/>
    <w:rsid w:val="00195E82"/>
    <w:rsid w:val="0019749B"/>
    <w:rsid w:val="00197EEA"/>
    <w:rsid w:val="001A1261"/>
    <w:rsid w:val="001A162F"/>
    <w:rsid w:val="001A2E7D"/>
    <w:rsid w:val="001A3892"/>
    <w:rsid w:val="001A409E"/>
    <w:rsid w:val="001A4A19"/>
    <w:rsid w:val="001A760F"/>
    <w:rsid w:val="001A7799"/>
    <w:rsid w:val="001B00BF"/>
    <w:rsid w:val="001B03D9"/>
    <w:rsid w:val="001B0695"/>
    <w:rsid w:val="001B06E9"/>
    <w:rsid w:val="001B0AE7"/>
    <w:rsid w:val="001B1C72"/>
    <w:rsid w:val="001B3B59"/>
    <w:rsid w:val="001B3B9F"/>
    <w:rsid w:val="001B5929"/>
    <w:rsid w:val="001B5B9B"/>
    <w:rsid w:val="001B5D83"/>
    <w:rsid w:val="001B67B4"/>
    <w:rsid w:val="001B75CF"/>
    <w:rsid w:val="001C0393"/>
    <w:rsid w:val="001C0F1E"/>
    <w:rsid w:val="001C2618"/>
    <w:rsid w:val="001C38FD"/>
    <w:rsid w:val="001C43D4"/>
    <w:rsid w:val="001C47A9"/>
    <w:rsid w:val="001C4EBB"/>
    <w:rsid w:val="001C4FF0"/>
    <w:rsid w:val="001C67A1"/>
    <w:rsid w:val="001C71AC"/>
    <w:rsid w:val="001C7871"/>
    <w:rsid w:val="001D0CAE"/>
    <w:rsid w:val="001D0D1C"/>
    <w:rsid w:val="001D2906"/>
    <w:rsid w:val="001D3053"/>
    <w:rsid w:val="001D4062"/>
    <w:rsid w:val="001D4B04"/>
    <w:rsid w:val="001D5BB2"/>
    <w:rsid w:val="001D69AD"/>
    <w:rsid w:val="001D7C48"/>
    <w:rsid w:val="001E108B"/>
    <w:rsid w:val="001E1297"/>
    <w:rsid w:val="001E1343"/>
    <w:rsid w:val="001E24DE"/>
    <w:rsid w:val="001E2807"/>
    <w:rsid w:val="001E33A2"/>
    <w:rsid w:val="001E38FB"/>
    <w:rsid w:val="001E4110"/>
    <w:rsid w:val="001E4393"/>
    <w:rsid w:val="001E4ABF"/>
    <w:rsid w:val="001E4FAD"/>
    <w:rsid w:val="001E66DC"/>
    <w:rsid w:val="001F1618"/>
    <w:rsid w:val="001F273F"/>
    <w:rsid w:val="001F2AB9"/>
    <w:rsid w:val="001F2B6D"/>
    <w:rsid w:val="001F2DC1"/>
    <w:rsid w:val="001F35A3"/>
    <w:rsid w:val="001F36F3"/>
    <w:rsid w:val="001F3F5E"/>
    <w:rsid w:val="001F617E"/>
    <w:rsid w:val="001F7015"/>
    <w:rsid w:val="001F7767"/>
    <w:rsid w:val="002007A2"/>
    <w:rsid w:val="002029BF"/>
    <w:rsid w:val="00203040"/>
    <w:rsid w:val="00203217"/>
    <w:rsid w:val="00203FD5"/>
    <w:rsid w:val="00204C25"/>
    <w:rsid w:val="00205AA0"/>
    <w:rsid w:val="002061AF"/>
    <w:rsid w:val="002062EB"/>
    <w:rsid w:val="002072F8"/>
    <w:rsid w:val="002107D3"/>
    <w:rsid w:val="00210A4A"/>
    <w:rsid w:val="00210E9F"/>
    <w:rsid w:val="00210F65"/>
    <w:rsid w:val="0021287F"/>
    <w:rsid w:val="00212E87"/>
    <w:rsid w:val="002136D3"/>
    <w:rsid w:val="00213BAC"/>
    <w:rsid w:val="00213F75"/>
    <w:rsid w:val="0021409F"/>
    <w:rsid w:val="002150B3"/>
    <w:rsid w:val="0021590C"/>
    <w:rsid w:val="0021715C"/>
    <w:rsid w:val="00217DBB"/>
    <w:rsid w:val="00220412"/>
    <w:rsid w:val="00220E70"/>
    <w:rsid w:val="00221671"/>
    <w:rsid w:val="00221810"/>
    <w:rsid w:val="00221EB8"/>
    <w:rsid w:val="002225E4"/>
    <w:rsid w:val="00222F0C"/>
    <w:rsid w:val="00222F6A"/>
    <w:rsid w:val="00223D84"/>
    <w:rsid w:val="00224609"/>
    <w:rsid w:val="0022512F"/>
    <w:rsid w:val="002260EB"/>
    <w:rsid w:val="002269C9"/>
    <w:rsid w:val="00230072"/>
    <w:rsid w:val="00230760"/>
    <w:rsid w:val="00230F63"/>
    <w:rsid w:val="00231598"/>
    <w:rsid w:val="00232F16"/>
    <w:rsid w:val="0023389D"/>
    <w:rsid w:val="00233910"/>
    <w:rsid w:val="00233B2D"/>
    <w:rsid w:val="00235FAD"/>
    <w:rsid w:val="00236323"/>
    <w:rsid w:val="00237977"/>
    <w:rsid w:val="0024019F"/>
    <w:rsid w:val="00240EF8"/>
    <w:rsid w:val="00242426"/>
    <w:rsid w:val="0024317C"/>
    <w:rsid w:val="002437A3"/>
    <w:rsid w:val="002440B4"/>
    <w:rsid w:val="0024441D"/>
    <w:rsid w:val="00244DE8"/>
    <w:rsid w:val="002454D1"/>
    <w:rsid w:val="00246D62"/>
    <w:rsid w:val="0025003D"/>
    <w:rsid w:val="00250250"/>
    <w:rsid w:val="00250579"/>
    <w:rsid w:val="00250BE6"/>
    <w:rsid w:val="00251A2F"/>
    <w:rsid w:val="002524A1"/>
    <w:rsid w:val="00252F70"/>
    <w:rsid w:val="00252F72"/>
    <w:rsid w:val="00253BA6"/>
    <w:rsid w:val="00254010"/>
    <w:rsid w:val="00254859"/>
    <w:rsid w:val="0025527F"/>
    <w:rsid w:val="00256A25"/>
    <w:rsid w:val="00256BB5"/>
    <w:rsid w:val="00257198"/>
    <w:rsid w:val="00260A4B"/>
    <w:rsid w:val="00262EA8"/>
    <w:rsid w:val="002646FE"/>
    <w:rsid w:val="0026558F"/>
    <w:rsid w:val="002659E9"/>
    <w:rsid w:val="00265DC4"/>
    <w:rsid w:val="002660FF"/>
    <w:rsid w:val="00267F16"/>
    <w:rsid w:val="00270771"/>
    <w:rsid w:val="00271646"/>
    <w:rsid w:val="00271C3A"/>
    <w:rsid w:val="0027245B"/>
    <w:rsid w:val="00272A89"/>
    <w:rsid w:val="00274846"/>
    <w:rsid w:val="00274B9C"/>
    <w:rsid w:val="00275A59"/>
    <w:rsid w:val="0027634A"/>
    <w:rsid w:val="00277155"/>
    <w:rsid w:val="00280EEA"/>
    <w:rsid w:val="00281B70"/>
    <w:rsid w:val="00283A14"/>
    <w:rsid w:val="00283CDE"/>
    <w:rsid w:val="00283D45"/>
    <w:rsid w:val="002840C9"/>
    <w:rsid w:val="00285C53"/>
    <w:rsid w:val="00285C88"/>
    <w:rsid w:val="00285E0C"/>
    <w:rsid w:val="002863C9"/>
    <w:rsid w:val="00287486"/>
    <w:rsid w:val="00290691"/>
    <w:rsid w:val="002912A1"/>
    <w:rsid w:val="0029167A"/>
    <w:rsid w:val="002917C6"/>
    <w:rsid w:val="0029290B"/>
    <w:rsid w:val="00292920"/>
    <w:rsid w:val="00293003"/>
    <w:rsid w:val="002934D2"/>
    <w:rsid w:val="00294F2B"/>
    <w:rsid w:val="002963D1"/>
    <w:rsid w:val="00296DAC"/>
    <w:rsid w:val="002974C5"/>
    <w:rsid w:val="002A1870"/>
    <w:rsid w:val="002A2D06"/>
    <w:rsid w:val="002A3634"/>
    <w:rsid w:val="002A3A1C"/>
    <w:rsid w:val="002A43DF"/>
    <w:rsid w:val="002A4559"/>
    <w:rsid w:val="002A595F"/>
    <w:rsid w:val="002A7627"/>
    <w:rsid w:val="002A7969"/>
    <w:rsid w:val="002B1358"/>
    <w:rsid w:val="002B17BF"/>
    <w:rsid w:val="002B1A0E"/>
    <w:rsid w:val="002B1A51"/>
    <w:rsid w:val="002B2CB7"/>
    <w:rsid w:val="002B3071"/>
    <w:rsid w:val="002B30DC"/>
    <w:rsid w:val="002B39E4"/>
    <w:rsid w:val="002B460F"/>
    <w:rsid w:val="002B58DF"/>
    <w:rsid w:val="002B5F88"/>
    <w:rsid w:val="002B616B"/>
    <w:rsid w:val="002B616F"/>
    <w:rsid w:val="002B6254"/>
    <w:rsid w:val="002B7DAE"/>
    <w:rsid w:val="002B7EF4"/>
    <w:rsid w:val="002C04EB"/>
    <w:rsid w:val="002C0906"/>
    <w:rsid w:val="002C0C1F"/>
    <w:rsid w:val="002C2153"/>
    <w:rsid w:val="002C28C5"/>
    <w:rsid w:val="002C352A"/>
    <w:rsid w:val="002C3997"/>
    <w:rsid w:val="002C3BD8"/>
    <w:rsid w:val="002C456D"/>
    <w:rsid w:val="002C502E"/>
    <w:rsid w:val="002C59AB"/>
    <w:rsid w:val="002C66E8"/>
    <w:rsid w:val="002C72E2"/>
    <w:rsid w:val="002C7832"/>
    <w:rsid w:val="002C7AAB"/>
    <w:rsid w:val="002C7D82"/>
    <w:rsid w:val="002D0BDE"/>
    <w:rsid w:val="002D0C94"/>
    <w:rsid w:val="002D194D"/>
    <w:rsid w:val="002D2132"/>
    <w:rsid w:val="002D214D"/>
    <w:rsid w:val="002D4192"/>
    <w:rsid w:val="002D4A73"/>
    <w:rsid w:val="002D50F0"/>
    <w:rsid w:val="002D50FF"/>
    <w:rsid w:val="002D5F1A"/>
    <w:rsid w:val="002D671D"/>
    <w:rsid w:val="002D6DCB"/>
    <w:rsid w:val="002D7C52"/>
    <w:rsid w:val="002E0253"/>
    <w:rsid w:val="002E0BB4"/>
    <w:rsid w:val="002E1345"/>
    <w:rsid w:val="002E1600"/>
    <w:rsid w:val="002E2B12"/>
    <w:rsid w:val="002E2CE5"/>
    <w:rsid w:val="002E4334"/>
    <w:rsid w:val="002E478B"/>
    <w:rsid w:val="002E5AC7"/>
    <w:rsid w:val="002E721E"/>
    <w:rsid w:val="002E7F64"/>
    <w:rsid w:val="002F04C2"/>
    <w:rsid w:val="002F0697"/>
    <w:rsid w:val="002F08E9"/>
    <w:rsid w:val="002F1D39"/>
    <w:rsid w:val="002F254F"/>
    <w:rsid w:val="002F2CF9"/>
    <w:rsid w:val="002F3A33"/>
    <w:rsid w:val="002F4F30"/>
    <w:rsid w:val="002F5113"/>
    <w:rsid w:val="002F51ED"/>
    <w:rsid w:val="002F661B"/>
    <w:rsid w:val="002F7837"/>
    <w:rsid w:val="002F7D78"/>
    <w:rsid w:val="003004A5"/>
    <w:rsid w:val="00301139"/>
    <w:rsid w:val="0030159A"/>
    <w:rsid w:val="00301906"/>
    <w:rsid w:val="00302338"/>
    <w:rsid w:val="003036BA"/>
    <w:rsid w:val="003038CC"/>
    <w:rsid w:val="0030461F"/>
    <w:rsid w:val="00305BEA"/>
    <w:rsid w:val="00305F70"/>
    <w:rsid w:val="00305FE3"/>
    <w:rsid w:val="00306E33"/>
    <w:rsid w:val="003070A9"/>
    <w:rsid w:val="00307652"/>
    <w:rsid w:val="003079A2"/>
    <w:rsid w:val="003119C9"/>
    <w:rsid w:val="00311BF9"/>
    <w:rsid w:val="00312237"/>
    <w:rsid w:val="00312CFA"/>
    <w:rsid w:val="00313829"/>
    <w:rsid w:val="00314792"/>
    <w:rsid w:val="00314C8A"/>
    <w:rsid w:val="00315BB5"/>
    <w:rsid w:val="00315DC9"/>
    <w:rsid w:val="003162E3"/>
    <w:rsid w:val="00316808"/>
    <w:rsid w:val="00316D74"/>
    <w:rsid w:val="00317076"/>
    <w:rsid w:val="00317283"/>
    <w:rsid w:val="00317C4A"/>
    <w:rsid w:val="00320B42"/>
    <w:rsid w:val="00320F10"/>
    <w:rsid w:val="003210DC"/>
    <w:rsid w:val="0032110B"/>
    <w:rsid w:val="003212A1"/>
    <w:rsid w:val="00322C50"/>
    <w:rsid w:val="00323724"/>
    <w:rsid w:val="00323AF9"/>
    <w:rsid w:val="00324224"/>
    <w:rsid w:val="00324FF3"/>
    <w:rsid w:val="00325C69"/>
    <w:rsid w:val="00325E37"/>
    <w:rsid w:val="0032659F"/>
    <w:rsid w:val="00326F2E"/>
    <w:rsid w:val="00327CC2"/>
    <w:rsid w:val="00330757"/>
    <w:rsid w:val="00331303"/>
    <w:rsid w:val="00331B99"/>
    <w:rsid w:val="003323C1"/>
    <w:rsid w:val="00332EC8"/>
    <w:rsid w:val="003330CA"/>
    <w:rsid w:val="003334A7"/>
    <w:rsid w:val="00333A32"/>
    <w:rsid w:val="00333DCF"/>
    <w:rsid w:val="00335F11"/>
    <w:rsid w:val="00336171"/>
    <w:rsid w:val="0033744E"/>
    <w:rsid w:val="00337EF8"/>
    <w:rsid w:val="003411E8"/>
    <w:rsid w:val="003417B3"/>
    <w:rsid w:val="003427D2"/>
    <w:rsid w:val="00344791"/>
    <w:rsid w:val="00345041"/>
    <w:rsid w:val="00345C5E"/>
    <w:rsid w:val="00346FA7"/>
    <w:rsid w:val="00347116"/>
    <w:rsid w:val="003472B5"/>
    <w:rsid w:val="00347B69"/>
    <w:rsid w:val="00350283"/>
    <w:rsid w:val="00350C75"/>
    <w:rsid w:val="00350E0B"/>
    <w:rsid w:val="00351CEE"/>
    <w:rsid w:val="0035276C"/>
    <w:rsid w:val="003535BF"/>
    <w:rsid w:val="0035464B"/>
    <w:rsid w:val="00355DC4"/>
    <w:rsid w:val="00355FA0"/>
    <w:rsid w:val="003576E4"/>
    <w:rsid w:val="00357808"/>
    <w:rsid w:val="003579C6"/>
    <w:rsid w:val="0036139E"/>
    <w:rsid w:val="00361CD2"/>
    <w:rsid w:val="00361E38"/>
    <w:rsid w:val="00362109"/>
    <w:rsid w:val="00362846"/>
    <w:rsid w:val="0036373C"/>
    <w:rsid w:val="00363C14"/>
    <w:rsid w:val="00365B5C"/>
    <w:rsid w:val="0036622B"/>
    <w:rsid w:val="00367148"/>
    <w:rsid w:val="00367885"/>
    <w:rsid w:val="00367A5A"/>
    <w:rsid w:val="00367D96"/>
    <w:rsid w:val="0037367D"/>
    <w:rsid w:val="00373889"/>
    <w:rsid w:val="00374A22"/>
    <w:rsid w:val="0037684D"/>
    <w:rsid w:val="00376FAA"/>
    <w:rsid w:val="0037713C"/>
    <w:rsid w:val="0037722D"/>
    <w:rsid w:val="00377464"/>
    <w:rsid w:val="00377DC9"/>
    <w:rsid w:val="00380579"/>
    <w:rsid w:val="00381710"/>
    <w:rsid w:val="00381735"/>
    <w:rsid w:val="00381AA1"/>
    <w:rsid w:val="00382027"/>
    <w:rsid w:val="0038388E"/>
    <w:rsid w:val="00383C5E"/>
    <w:rsid w:val="00384422"/>
    <w:rsid w:val="00386371"/>
    <w:rsid w:val="003900BD"/>
    <w:rsid w:val="00390341"/>
    <w:rsid w:val="00390BEA"/>
    <w:rsid w:val="00390CE5"/>
    <w:rsid w:val="003911F8"/>
    <w:rsid w:val="00391418"/>
    <w:rsid w:val="00391BFC"/>
    <w:rsid w:val="003921B0"/>
    <w:rsid w:val="00392F88"/>
    <w:rsid w:val="0039493A"/>
    <w:rsid w:val="003955FE"/>
    <w:rsid w:val="003956EF"/>
    <w:rsid w:val="0039648A"/>
    <w:rsid w:val="00396555"/>
    <w:rsid w:val="00396FF8"/>
    <w:rsid w:val="00397D24"/>
    <w:rsid w:val="00397E6C"/>
    <w:rsid w:val="003A0CFF"/>
    <w:rsid w:val="003A0F01"/>
    <w:rsid w:val="003A1252"/>
    <w:rsid w:val="003A1680"/>
    <w:rsid w:val="003A1A5A"/>
    <w:rsid w:val="003A2BFB"/>
    <w:rsid w:val="003A2DEB"/>
    <w:rsid w:val="003A2E50"/>
    <w:rsid w:val="003A3BBE"/>
    <w:rsid w:val="003A4215"/>
    <w:rsid w:val="003A54E2"/>
    <w:rsid w:val="003A5CFE"/>
    <w:rsid w:val="003A6123"/>
    <w:rsid w:val="003A71BD"/>
    <w:rsid w:val="003A77F3"/>
    <w:rsid w:val="003A7CBD"/>
    <w:rsid w:val="003B035B"/>
    <w:rsid w:val="003B1C2C"/>
    <w:rsid w:val="003B1CC3"/>
    <w:rsid w:val="003B308F"/>
    <w:rsid w:val="003B3565"/>
    <w:rsid w:val="003B4482"/>
    <w:rsid w:val="003B4903"/>
    <w:rsid w:val="003B52F3"/>
    <w:rsid w:val="003B6462"/>
    <w:rsid w:val="003B65F7"/>
    <w:rsid w:val="003B7215"/>
    <w:rsid w:val="003B7BB3"/>
    <w:rsid w:val="003B7F01"/>
    <w:rsid w:val="003C0F04"/>
    <w:rsid w:val="003C1443"/>
    <w:rsid w:val="003C1502"/>
    <w:rsid w:val="003C2C45"/>
    <w:rsid w:val="003C3821"/>
    <w:rsid w:val="003C5CC1"/>
    <w:rsid w:val="003C639E"/>
    <w:rsid w:val="003C675C"/>
    <w:rsid w:val="003C75B0"/>
    <w:rsid w:val="003C7F69"/>
    <w:rsid w:val="003D26B4"/>
    <w:rsid w:val="003D27D1"/>
    <w:rsid w:val="003D4E2B"/>
    <w:rsid w:val="003D56D8"/>
    <w:rsid w:val="003D613F"/>
    <w:rsid w:val="003D7317"/>
    <w:rsid w:val="003E05CF"/>
    <w:rsid w:val="003E0A80"/>
    <w:rsid w:val="003E0C32"/>
    <w:rsid w:val="003E0DEF"/>
    <w:rsid w:val="003E1A05"/>
    <w:rsid w:val="003E2022"/>
    <w:rsid w:val="003E3B20"/>
    <w:rsid w:val="003E3FD6"/>
    <w:rsid w:val="003E43D5"/>
    <w:rsid w:val="003E4CC3"/>
    <w:rsid w:val="003E52E3"/>
    <w:rsid w:val="003E5627"/>
    <w:rsid w:val="003E58E2"/>
    <w:rsid w:val="003E63B2"/>
    <w:rsid w:val="003E73FB"/>
    <w:rsid w:val="003F051B"/>
    <w:rsid w:val="003F14A6"/>
    <w:rsid w:val="003F189B"/>
    <w:rsid w:val="003F23F2"/>
    <w:rsid w:val="003F47A7"/>
    <w:rsid w:val="003F4BAB"/>
    <w:rsid w:val="003F5D70"/>
    <w:rsid w:val="003F7FF7"/>
    <w:rsid w:val="0040071C"/>
    <w:rsid w:val="0040086B"/>
    <w:rsid w:val="00400F96"/>
    <w:rsid w:val="004014F4"/>
    <w:rsid w:val="004019E9"/>
    <w:rsid w:val="00401AC8"/>
    <w:rsid w:val="00401B6C"/>
    <w:rsid w:val="00401C1A"/>
    <w:rsid w:val="0040222C"/>
    <w:rsid w:val="004046BE"/>
    <w:rsid w:val="004047FC"/>
    <w:rsid w:val="00405BF7"/>
    <w:rsid w:val="00407777"/>
    <w:rsid w:val="00407A1B"/>
    <w:rsid w:val="004102FB"/>
    <w:rsid w:val="00411127"/>
    <w:rsid w:val="00412CEA"/>
    <w:rsid w:val="00413046"/>
    <w:rsid w:val="00414ABB"/>
    <w:rsid w:val="00414EB5"/>
    <w:rsid w:val="0041511B"/>
    <w:rsid w:val="00415B90"/>
    <w:rsid w:val="004160E6"/>
    <w:rsid w:val="00416267"/>
    <w:rsid w:val="0041666F"/>
    <w:rsid w:val="004171A8"/>
    <w:rsid w:val="004178A0"/>
    <w:rsid w:val="00424A9C"/>
    <w:rsid w:val="00424F41"/>
    <w:rsid w:val="00426D88"/>
    <w:rsid w:val="00426D9F"/>
    <w:rsid w:val="0042738D"/>
    <w:rsid w:val="004278F1"/>
    <w:rsid w:val="00431260"/>
    <w:rsid w:val="00433970"/>
    <w:rsid w:val="00434131"/>
    <w:rsid w:val="004345ED"/>
    <w:rsid w:val="00434D7F"/>
    <w:rsid w:val="004356E4"/>
    <w:rsid w:val="004364D2"/>
    <w:rsid w:val="0043664B"/>
    <w:rsid w:val="00436EAD"/>
    <w:rsid w:val="00437375"/>
    <w:rsid w:val="00437B7A"/>
    <w:rsid w:val="00441F4B"/>
    <w:rsid w:val="00442FB6"/>
    <w:rsid w:val="00443F1E"/>
    <w:rsid w:val="00443F37"/>
    <w:rsid w:val="00444B73"/>
    <w:rsid w:val="004452FB"/>
    <w:rsid w:val="00445D9C"/>
    <w:rsid w:val="00446015"/>
    <w:rsid w:val="0044769B"/>
    <w:rsid w:val="0044793D"/>
    <w:rsid w:val="00447C49"/>
    <w:rsid w:val="00450118"/>
    <w:rsid w:val="0045021D"/>
    <w:rsid w:val="004502B3"/>
    <w:rsid w:val="004503C0"/>
    <w:rsid w:val="00450979"/>
    <w:rsid w:val="00450D85"/>
    <w:rsid w:val="00454126"/>
    <w:rsid w:val="00455F9A"/>
    <w:rsid w:val="004566D4"/>
    <w:rsid w:val="00456A8E"/>
    <w:rsid w:val="004603DC"/>
    <w:rsid w:val="00460F90"/>
    <w:rsid w:val="004611A4"/>
    <w:rsid w:val="004613F8"/>
    <w:rsid w:val="004627D8"/>
    <w:rsid w:val="00464350"/>
    <w:rsid w:val="00464DAA"/>
    <w:rsid w:val="00465BAE"/>
    <w:rsid w:val="004670E2"/>
    <w:rsid w:val="004671CA"/>
    <w:rsid w:val="00467627"/>
    <w:rsid w:val="004679F5"/>
    <w:rsid w:val="0047089E"/>
    <w:rsid w:val="00470E06"/>
    <w:rsid w:val="0047104D"/>
    <w:rsid w:val="004711BD"/>
    <w:rsid w:val="00471348"/>
    <w:rsid w:val="0047156B"/>
    <w:rsid w:val="00471635"/>
    <w:rsid w:val="00471935"/>
    <w:rsid w:val="004722C7"/>
    <w:rsid w:val="00472312"/>
    <w:rsid w:val="004726BB"/>
    <w:rsid w:val="00472DD9"/>
    <w:rsid w:val="004743A5"/>
    <w:rsid w:val="00474952"/>
    <w:rsid w:val="00476E2C"/>
    <w:rsid w:val="00476FC8"/>
    <w:rsid w:val="0047734B"/>
    <w:rsid w:val="00477695"/>
    <w:rsid w:val="00477706"/>
    <w:rsid w:val="00477BD1"/>
    <w:rsid w:val="00477BE3"/>
    <w:rsid w:val="0048012F"/>
    <w:rsid w:val="00480B47"/>
    <w:rsid w:val="004835D1"/>
    <w:rsid w:val="00483879"/>
    <w:rsid w:val="00483D0F"/>
    <w:rsid w:val="00483E2E"/>
    <w:rsid w:val="00484281"/>
    <w:rsid w:val="004842E3"/>
    <w:rsid w:val="00484319"/>
    <w:rsid w:val="00484773"/>
    <w:rsid w:val="004848FD"/>
    <w:rsid w:val="00484FD7"/>
    <w:rsid w:val="004854FA"/>
    <w:rsid w:val="0048561A"/>
    <w:rsid w:val="00485D92"/>
    <w:rsid w:val="00485F5D"/>
    <w:rsid w:val="004871A0"/>
    <w:rsid w:val="00487C22"/>
    <w:rsid w:val="004912D3"/>
    <w:rsid w:val="00491630"/>
    <w:rsid w:val="004919C9"/>
    <w:rsid w:val="00491E98"/>
    <w:rsid w:val="00492139"/>
    <w:rsid w:val="004923DE"/>
    <w:rsid w:val="0049260A"/>
    <w:rsid w:val="00492659"/>
    <w:rsid w:val="00492C37"/>
    <w:rsid w:val="00493C44"/>
    <w:rsid w:val="00493E59"/>
    <w:rsid w:val="00493F82"/>
    <w:rsid w:val="004968EC"/>
    <w:rsid w:val="00497697"/>
    <w:rsid w:val="004978FE"/>
    <w:rsid w:val="004A0FF2"/>
    <w:rsid w:val="004A22C7"/>
    <w:rsid w:val="004A2646"/>
    <w:rsid w:val="004A4239"/>
    <w:rsid w:val="004A4F30"/>
    <w:rsid w:val="004A52A7"/>
    <w:rsid w:val="004A5D12"/>
    <w:rsid w:val="004A6616"/>
    <w:rsid w:val="004A66C0"/>
    <w:rsid w:val="004A772B"/>
    <w:rsid w:val="004A7A01"/>
    <w:rsid w:val="004B0575"/>
    <w:rsid w:val="004B0B9A"/>
    <w:rsid w:val="004B0E00"/>
    <w:rsid w:val="004B2AC0"/>
    <w:rsid w:val="004B4806"/>
    <w:rsid w:val="004B58BD"/>
    <w:rsid w:val="004B5FD3"/>
    <w:rsid w:val="004B6A8E"/>
    <w:rsid w:val="004B6AF9"/>
    <w:rsid w:val="004B6C07"/>
    <w:rsid w:val="004B6C24"/>
    <w:rsid w:val="004B79B6"/>
    <w:rsid w:val="004C173D"/>
    <w:rsid w:val="004C1ACE"/>
    <w:rsid w:val="004C2334"/>
    <w:rsid w:val="004C3125"/>
    <w:rsid w:val="004C4108"/>
    <w:rsid w:val="004C4591"/>
    <w:rsid w:val="004C53F3"/>
    <w:rsid w:val="004C5780"/>
    <w:rsid w:val="004C5CFB"/>
    <w:rsid w:val="004C6D0F"/>
    <w:rsid w:val="004D00A1"/>
    <w:rsid w:val="004D032A"/>
    <w:rsid w:val="004D0C7E"/>
    <w:rsid w:val="004D3614"/>
    <w:rsid w:val="004D3F4E"/>
    <w:rsid w:val="004D48F5"/>
    <w:rsid w:val="004D4E6D"/>
    <w:rsid w:val="004D56F0"/>
    <w:rsid w:val="004D5E09"/>
    <w:rsid w:val="004D6268"/>
    <w:rsid w:val="004D7B32"/>
    <w:rsid w:val="004E015D"/>
    <w:rsid w:val="004E01DA"/>
    <w:rsid w:val="004E07FF"/>
    <w:rsid w:val="004E44B8"/>
    <w:rsid w:val="004E5AEC"/>
    <w:rsid w:val="004E61EF"/>
    <w:rsid w:val="004E6EDD"/>
    <w:rsid w:val="004E790C"/>
    <w:rsid w:val="004E7AD5"/>
    <w:rsid w:val="004E7F3B"/>
    <w:rsid w:val="004F02BC"/>
    <w:rsid w:val="004F02DD"/>
    <w:rsid w:val="004F075A"/>
    <w:rsid w:val="004F1816"/>
    <w:rsid w:val="004F2B0D"/>
    <w:rsid w:val="004F30E8"/>
    <w:rsid w:val="004F391B"/>
    <w:rsid w:val="004F3D2A"/>
    <w:rsid w:val="004F4727"/>
    <w:rsid w:val="004F4BCA"/>
    <w:rsid w:val="004F6215"/>
    <w:rsid w:val="004F69FE"/>
    <w:rsid w:val="004F7AAA"/>
    <w:rsid w:val="004F7C32"/>
    <w:rsid w:val="00500F06"/>
    <w:rsid w:val="0050228A"/>
    <w:rsid w:val="00504A3A"/>
    <w:rsid w:val="00504F8F"/>
    <w:rsid w:val="005058D6"/>
    <w:rsid w:val="00506048"/>
    <w:rsid w:val="00506056"/>
    <w:rsid w:val="0050682D"/>
    <w:rsid w:val="00506CEB"/>
    <w:rsid w:val="00507167"/>
    <w:rsid w:val="00510E89"/>
    <w:rsid w:val="00512565"/>
    <w:rsid w:val="00513F06"/>
    <w:rsid w:val="0051411F"/>
    <w:rsid w:val="00514218"/>
    <w:rsid w:val="00514CAA"/>
    <w:rsid w:val="00516ADB"/>
    <w:rsid w:val="00516DF2"/>
    <w:rsid w:val="00520315"/>
    <w:rsid w:val="005204FA"/>
    <w:rsid w:val="005218E0"/>
    <w:rsid w:val="005225D2"/>
    <w:rsid w:val="00522A78"/>
    <w:rsid w:val="00522C9F"/>
    <w:rsid w:val="00522E61"/>
    <w:rsid w:val="0052338D"/>
    <w:rsid w:val="005233AD"/>
    <w:rsid w:val="0052354F"/>
    <w:rsid w:val="005236E1"/>
    <w:rsid w:val="00523928"/>
    <w:rsid w:val="005239FD"/>
    <w:rsid w:val="00523BE7"/>
    <w:rsid w:val="00524F44"/>
    <w:rsid w:val="005263CE"/>
    <w:rsid w:val="005269D9"/>
    <w:rsid w:val="00526CE6"/>
    <w:rsid w:val="005272E7"/>
    <w:rsid w:val="00527728"/>
    <w:rsid w:val="00530931"/>
    <w:rsid w:val="00531BC0"/>
    <w:rsid w:val="00532777"/>
    <w:rsid w:val="005328B6"/>
    <w:rsid w:val="0053393D"/>
    <w:rsid w:val="00533B63"/>
    <w:rsid w:val="00533F1D"/>
    <w:rsid w:val="005342F6"/>
    <w:rsid w:val="005346BD"/>
    <w:rsid w:val="00535035"/>
    <w:rsid w:val="005350BE"/>
    <w:rsid w:val="005354A4"/>
    <w:rsid w:val="00536BDD"/>
    <w:rsid w:val="0053710D"/>
    <w:rsid w:val="0053710E"/>
    <w:rsid w:val="005373DA"/>
    <w:rsid w:val="00537D5A"/>
    <w:rsid w:val="00540AC8"/>
    <w:rsid w:val="005411F2"/>
    <w:rsid w:val="00541554"/>
    <w:rsid w:val="0054162A"/>
    <w:rsid w:val="00541787"/>
    <w:rsid w:val="00541844"/>
    <w:rsid w:val="0054192D"/>
    <w:rsid w:val="00541CC4"/>
    <w:rsid w:val="00542532"/>
    <w:rsid w:val="00542E0D"/>
    <w:rsid w:val="00543281"/>
    <w:rsid w:val="00544142"/>
    <w:rsid w:val="00544941"/>
    <w:rsid w:val="00545EA8"/>
    <w:rsid w:val="00546165"/>
    <w:rsid w:val="005469D0"/>
    <w:rsid w:val="00546B67"/>
    <w:rsid w:val="00550D0D"/>
    <w:rsid w:val="00551A7A"/>
    <w:rsid w:val="005522CD"/>
    <w:rsid w:val="0055327E"/>
    <w:rsid w:val="005532AB"/>
    <w:rsid w:val="00553741"/>
    <w:rsid w:val="005561F5"/>
    <w:rsid w:val="00556B30"/>
    <w:rsid w:val="00556C1E"/>
    <w:rsid w:val="00557027"/>
    <w:rsid w:val="005573F0"/>
    <w:rsid w:val="0056152E"/>
    <w:rsid w:val="00562990"/>
    <w:rsid w:val="00563583"/>
    <w:rsid w:val="005639B1"/>
    <w:rsid w:val="0056466E"/>
    <w:rsid w:val="00564A78"/>
    <w:rsid w:val="0056552E"/>
    <w:rsid w:val="0056565D"/>
    <w:rsid w:val="0056595D"/>
    <w:rsid w:val="005670B0"/>
    <w:rsid w:val="005677DC"/>
    <w:rsid w:val="005677E4"/>
    <w:rsid w:val="00567DB4"/>
    <w:rsid w:val="00570D05"/>
    <w:rsid w:val="00570DED"/>
    <w:rsid w:val="00571636"/>
    <w:rsid w:val="00571C59"/>
    <w:rsid w:val="00571F3F"/>
    <w:rsid w:val="005726BE"/>
    <w:rsid w:val="00574441"/>
    <w:rsid w:val="005745D3"/>
    <w:rsid w:val="00574AD2"/>
    <w:rsid w:val="005764BF"/>
    <w:rsid w:val="005809CA"/>
    <w:rsid w:val="00581B8B"/>
    <w:rsid w:val="005820B5"/>
    <w:rsid w:val="0058231D"/>
    <w:rsid w:val="00582495"/>
    <w:rsid w:val="00582F30"/>
    <w:rsid w:val="005832FC"/>
    <w:rsid w:val="00584E3E"/>
    <w:rsid w:val="0058536D"/>
    <w:rsid w:val="005865B9"/>
    <w:rsid w:val="005866E2"/>
    <w:rsid w:val="00586DCC"/>
    <w:rsid w:val="005870E5"/>
    <w:rsid w:val="005871D9"/>
    <w:rsid w:val="005878C7"/>
    <w:rsid w:val="00587B94"/>
    <w:rsid w:val="005909BE"/>
    <w:rsid w:val="0059184D"/>
    <w:rsid w:val="00592236"/>
    <w:rsid w:val="00592E49"/>
    <w:rsid w:val="0059508B"/>
    <w:rsid w:val="005953FB"/>
    <w:rsid w:val="0059540B"/>
    <w:rsid w:val="00595CCD"/>
    <w:rsid w:val="00596DAD"/>
    <w:rsid w:val="005973C5"/>
    <w:rsid w:val="005A1F27"/>
    <w:rsid w:val="005A29F5"/>
    <w:rsid w:val="005A3821"/>
    <w:rsid w:val="005A4FEC"/>
    <w:rsid w:val="005A53C9"/>
    <w:rsid w:val="005A553F"/>
    <w:rsid w:val="005A57DE"/>
    <w:rsid w:val="005A64C8"/>
    <w:rsid w:val="005A6E24"/>
    <w:rsid w:val="005A70B1"/>
    <w:rsid w:val="005A73FD"/>
    <w:rsid w:val="005A79F2"/>
    <w:rsid w:val="005B00C5"/>
    <w:rsid w:val="005B03F2"/>
    <w:rsid w:val="005B07D1"/>
    <w:rsid w:val="005B0875"/>
    <w:rsid w:val="005B1055"/>
    <w:rsid w:val="005B1C56"/>
    <w:rsid w:val="005B202C"/>
    <w:rsid w:val="005B212E"/>
    <w:rsid w:val="005B2F13"/>
    <w:rsid w:val="005B6733"/>
    <w:rsid w:val="005B7708"/>
    <w:rsid w:val="005B7C87"/>
    <w:rsid w:val="005C113F"/>
    <w:rsid w:val="005C1488"/>
    <w:rsid w:val="005C1EAE"/>
    <w:rsid w:val="005C2223"/>
    <w:rsid w:val="005C2E0B"/>
    <w:rsid w:val="005C402C"/>
    <w:rsid w:val="005C4874"/>
    <w:rsid w:val="005C5B24"/>
    <w:rsid w:val="005C604E"/>
    <w:rsid w:val="005C64D3"/>
    <w:rsid w:val="005C6C09"/>
    <w:rsid w:val="005C714C"/>
    <w:rsid w:val="005C7CC8"/>
    <w:rsid w:val="005D0128"/>
    <w:rsid w:val="005D0AE4"/>
    <w:rsid w:val="005D2D2E"/>
    <w:rsid w:val="005D3633"/>
    <w:rsid w:val="005D5C72"/>
    <w:rsid w:val="005D725F"/>
    <w:rsid w:val="005E0079"/>
    <w:rsid w:val="005E05A1"/>
    <w:rsid w:val="005E0C51"/>
    <w:rsid w:val="005E13B7"/>
    <w:rsid w:val="005E1853"/>
    <w:rsid w:val="005E299A"/>
    <w:rsid w:val="005E38AC"/>
    <w:rsid w:val="005E4698"/>
    <w:rsid w:val="005E4E56"/>
    <w:rsid w:val="005E5CC7"/>
    <w:rsid w:val="005E68CA"/>
    <w:rsid w:val="005E6CDF"/>
    <w:rsid w:val="005E7288"/>
    <w:rsid w:val="005E7503"/>
    <w:rsid w:val="005F03C1"/>
    <w:rsid w:val="005F0751"/>
    <w:rsid w:val="005F1319"/>
    <w:rsid w:val="005F1601"/>
    <w:rsid w:val="005F2D53"/>
    <w:rsid w:val="005F2ED9"/>
    <w:rsid w:val="005F2FC4"/>
    <w:rsid w:val="005F39AB"/>
    <w:rsid w:val="005F4953"/>
    <w:rsid w:val="005F4D25"/>
    <w:rsid w:val="005F541E"/>
    <w:rsid w:val="005F5559"/>
    <w:rsid w:val="005F58C5"/>
    <w:rsid w:val="005F591D"/>
    <w:rsid w:val="005F5FD2"/>
    <w:rsid w:val="005F70C2"/>
    <w:rsid w:val="005F7828"/>
    <w:rsid w:val="005F7A29"/>
    <w:rsid w:val="005F7F86"/>
    <w:rsid w:val="005F7FE9"/>
    <w:rsid w:val="006023C8"/>
    <w:rsid w:val="006027D4"/>
    <w:rsid w:val="00603B54"/>
    <w:rsid w:val="006048AE"/>
    <w:rsid w:val="00605A9B"/>
    <w:rsid w:val="006062C2"/>
    <w:rsid w:val="00610941"/>
    <w:rsid w:val="00612D43"/>
    <w:rsid w:val="0061583E"/>
    <w:rsid w:val="00615DD6"/>
    <w:rsid w:val="00616B8A"/>
    <w:rsid w:val="00620909"/>
    <w:rsid w:val="00621272"/>
    <w:rsid w:val="0062153C"/>
    <w:rsid w:val="00621C5A"/>
    <w:rsid w:val="00622534"/>
    <w:rsid w:val="00623783"/>
    <w:rsid w:val="00623CF3"/>
    <w:rsid w:val="006253B8"/>
    <w:rsid w:val="00626AFB"/>
    <w:rsid w:val="00626BF7"/>
    <w:rsid w:val="006274B6"/>
    <w:rsid w:val="00630B7A"/>
    <w:rsid w:val="0063210B"/>
    <w:rsid w:val="00632D8C"/>
    <w:rsid w:val="00633D94"/>
    <w:rsid w:val="00634509"/>
    <w:rsid w:val="006359B6"/>
    <w:rsid w:val="00637C0D"/>
    <w:rsid w:val="00640245"/>
    <w:rsid w:val="006417F6"/>
    <w:rsid w:val="00643391"/>
    <w:rsid w:val="00643564"/>
    <w:rsid w:val="00643AB8"/>
    <w:rsid w:val="0064456D"/>
    <w:rsid w:val="006450CF"/>
    <w:rsid w:val="00645534"/>
    <w:rsid w:val="00646738"/>
    <w:rsid w:val="00650003"/>
    <w:rsid w:val="00651AD5"/>
    <w:rsid w:val="00651BDF"/>
    <w:rsid w:val="00651D51"/>
    <w:rsid w:val="006529F8"/>
    <w:rsid w:val="00652B50"/>
    <w:rsid w:val="00653374"/>
    <w:rsid w:val="00656AF6"/>
    <w:rsid w:val="0066031E"/>
    <w:rsid w:val="006614CC"/>
    <w:rsid w:val="00661819"/>
    <w:rsid w:val="00662152"/>
    <w:rsid w:val="00664137"/>
    <w:rsid w:val="006642D8"/>
    <w:rsid w:val="00664DEE"/>
    <w:rsid w:val="00665F9C"/>
    <w:rsid w:val="006669CC"/>
    <w:rsid w:val="006670E5"/>
    <w:rsid w:val="0066780B"/>
    <w:rsid w:val="006705DB"/>
    <w:rsid w:val="006709CB"/>
    <w:rsid w:val="00670A35"/>
    <w:rsid w:val="006710E7"/>
    <w:rsid w:val="0067110C"/>
    <w:rsid w:val="00671BB0"/>
    <w:rsid w:val="00672903"/>
    <w:rsid w:val="006737C8"/>
    <w:rsid w:val="00673D5C"/>
    <w:rsid w:val="0067410E"/>
    <w:rsid w:val="00675498"/>
    <w:rsid w:val="00675F49"/>
    <w:rsid w:val="006766B6"/>
    <w:rsid w:val="00677CE8"/>
    <w:rsid w:val="00680EC6"/>
    <w:rsid w:val="00682E5E"/>
    <w:rsid w:val="006836CB"/>
    <w:rsid w:val="00685069"/>
    <w:rsid w:val="006859AC"/>
    <w:rsid w:val="00686D59"/>
    <w:rsid w:val="00687239"/>
    <w:rsid w:val="006900D4"/>
    <w:rsid w:val="00690CEB"/>
    <w:rsid w:val="00690E34"/>
    <w:rsid w:val="0069106B"/>
    <w:rsid w:val="00692441"/>
    <w:rsid w:val="006926E8"/>
    <w:rsid w:val="00693312"/>
    <w:rsid w:val="00694A71"/>
    <w:rsid w:val="00695286"/>
    <w:rsid w:val="0069604F"/>
    <w:rsid w:val="00696182"/>
    <w:rsid w:val="00696835"/>
    <w:rsid w:val="00696AA9"/>
    <w:rsid w:val="006A0703"/>
    <w:rsid w:val="006A0C67"/>
    <w:rsid w:val="006A1FE9"/>
    <w:rsid w:val="006A238A"/>
    <w:rsid w:val="006A264B"/>
    <w:rsid w:val="006A2B25"/>
    <w:rsid w:val="006A3613"/>
    <w:rsid w:val="006A3C1C"/>
    <w:rsid w:val="006A3CBF"/>
    <w:rsid w:val="006A3D58"/>
    <w:rsid w:val="006A4F84"/>
    <w:rsid w:val="006A572B"/>
    <w:rsid w:val="006A671C"/>
    <w:rsid w:val="006A692D"/>
    <w:rsid w:val="006A6D8A"/>
    <w:rsid w:val="006A7092"/>
    <w:rsid w:val="006A7111"/>
    <w:rsid w:val="006A7683"/>
    <w:rsid w:val="006B1688"/>
    <w:rsid w:val="006B1DC6"/>
    <w:rsid w:val="006B219A"/>
    <w:rsid w:val="006B2381"/>
    <w:rsid w:val="006B29EE"/>
    <w:rsid w:val="006B2F1E"/>
    <w:rsid w:val="006B30A6"/>
    <w:rsid w:val="006B3682"/>
    <w:rsid w:val="006B3982"/>
    <w:rsid w:val="006B44DF"/>
    <w:rsid w:val="006B4AD9"/>
    <w:rsid w:val="006B78A1"/>
    <w:rsid w:val="006C21B2"/>
    <w:rsid w:val="006C2470"/>
    <w:rsid w:val="006C2F42"/>
    <w:rsid w:val="006C3107"/>
    <w:rsid w:val="006C3741"/>
    <w:rsid w:val="006C3B95"/>
    <w:rsid w:val="006C4A99"/>
    <w:rsid w:val="006C4B36"/>
    <w:rsid w:val="006C4BFF"/>
    <w:rsid w:val="006C518C"/>
    <w:rsid w:val="006C567F"/>
    <w:rsid w:val="006C5AE4"/>
    <w:rsid w:val="006C6049"/>
    <w:rsid w:val="006C7041"/>
    <w:rsid w:val="006C7599"/>
    <w:rsid w:val="006C77CF"/>
    <w:rsid w:val="006D0D49"/>
    <w:rsid w:val="006D11D9"/>
    <w:rsid w:val="006D16A5"/>
    <w:rsid w:val="006D1B33"/>
    <w:rsid w:val="006D221B"/>
    <w:rsid w:val="006D2E61"/>
    <w:rsid w:val="006D31F5"/>
    <w:rsid w:val="006D3EBE"/>
    <w:rsid w:val="006D447A"/>
    <w:rsid w:val="006D4E56"/>
    <w:rsid w:val="006D5FC9"/>
    <w:rsid w:val="006E0499"/>
    <w:rsid w:val="006E127B"/>
    <w:rsid w:val="006E1372"/>
    <w:rsid w:val="006E1D65"/>
    <w:rsid w:val="006E2105"/>
    <w:rsid w:val="006E22A0"/>
    <w:rsid w:val="006E3796"/>
    <w:rsid w:val="006E3DED"/>
    <w:rsid w:val="006E446E"/>
    <w:rsid w:val="006E51F1"/>
    <w:rsid w:val="006E586B"/>
    <w:rsid w:val="006E7BC5"/>
    <w:rsid w:val="006F13D9"/>
    <w:rsid w:val="006F15AC"/>
    <w:rsid w:val="006F17C1"/>
    <w:rsid w:val="006F289E"/>
    <w:rsid w:val="006F4108"/>
    <w:rsid w:val="006F446E"/>
    <w:rsid w:val="006F53ED"/>
    <w:rsid w:val="006F600A"/>
    <w:rsid w:val="006F7573"/>
    <w:rsid w:val="00700143"/>
    <w:rsid w:val="00701028"/>
    <w:rsid w:val="0070122E"/>
    <w:rsid w:val="007012AD"/>
    <w:rsid w:val="00701A72"/>
    <w:rsid w:val="00702CE2"/>
    <w:rsid w:val="00702D1A"/>
    <w:rsid w:val="007035DA"/>
    <w:rsid w:val="00704855"/>
    <w:rsid w:val="00704BAE"/>
    <w:rsid w:val="00705329"/>
    <w:rsid w:val="00705342"/>
    <w:rsid w:val="00705AC1"/>
    <w:rsid w:val="00706B53"/>
    <w:rsid w:val="007112D5"/>
    <w:rsid w:val="00712C2A"/>
    <w:rsid w:val="007138D3"/>
    <w:rsid w:val="00713BF2"/>
    <w:rsid w:val="00713D52"/>
    <w:rsid w:val="0071424A"/>
    <w:rsid w:val="00715135"/>
    <w:rsid w:val="007164AD"/>
    <w:rsid w:val="00717FF8"/>
    <w:rsid w:val="00720C28"/>
    <w:rsid w:val="00722956"/>
    <w:rsid w:val="007231AE"/>
    <w:rsid w:val="00723715"/>
    <w:rsid w:val="00723768"/>
    <w:rsid w:val="00723BDB"/>
    <w:rsid w:val="00723EB4"/>
    <w:rsid w:val="007240E7"/>
    <w:rsid w:val="00724333"/>
    <w:rsid w:val="007253A6"/>
    <w:rsid w:val="00726709"/>
    <w:rsid w:val="00726C74"/>
    <w:rsid w:val="00726F3C"/>
    <w:rsid w:val="00727B25"/>
    <w:rsid w:val="00727DDC"/>
    <w:rsid w:val="0073028E"/>
    <w:rsid w:val="0073047E"/>
    <w:rsid w:val="0073098F"/>
    <w:rsid w:val="007312B3"/>
    <w:rsid w:val="00732870"/>
    <w:rsid w:val="0073292A"/>
    <w:rsid w:val="00733464"/>
    <w:rsid w:val="00733852"/>
    <w:rsid w:val="00735D8C"/>
    <w:rsid w:val="00735FA6"/>
    <w:rsid w:val="00736659"/>
    <w:rsid w:val="00736F5B"/>
    <w:rsid w:val="00737BA9"/>
    <w:rsid w:val="00737BF9"/>
    <w:rsid w:val="00740915"/>
    <w:rsid w:val="007412AD"/>
    <w:rsid w:val="007433CD"/>
    <w:rsid w:val="00743805"/>
    <w:rsid w:val="00743D8C"/>
    <w:rsid w:val="007459E7"/>
    <w:rsid w:val="00746222"/>
    <w:rsid w:val="00746BD5"/>
    <w:rsid w:val="00746F03"/>
    <w:rsid w:val="00747417"/>
    <w:rsid w:val="0075034A"/>
    <w:rsid w:val="00750CB1"/>
    <w:rsid w:val="007515C4"/>
    <w:rsid w:val="0075208F"/>
    <w:rsid w:val="00752860"/>
    <w:rsid w:val="0075389B"/>
    <w:rsid w:val="007550C7"/>
    <w:rsid w:val="00755A8D"/>
    <w:rsid w:val="007564B2"/>
    <w:rsid w:val="00756C53"/>
    <w:rsid w:val="007607EC"/>
    <w:rsid w:val="007609ED"/>
    <w:rsid w:val="00761602"/>
    <w:rsid w:val="00761FA0"/>
    <w:rsid w:val="00762385"/>
    <w:rsid w:val="00762915"/>
    <w:rsid w:val="007629EC"/>
    <w:rsid w:val="00762A68"/>
    <w:rsid w:val="00762E7E"/>
    <w:rsid w:val="00762F4A"/>
    <w:rsid w:val="0076319E"/>
    <w:rsid w:val="00763976"/>
    <w:rsid w:val="00764BD5"/>
    <w:rsid w:val="0076648D"/>
    <w:rsid w:val="00766510"/>
    <w:rsid w:val="00766ABA"/>
    <w:rsid w:val="00767032"/>
    <w:rsid w:val="00767951"/>
    <w:rsid w:val="0077099E"/>
    <w:rsid w:val="00771000"/>
    <w:rsid w:val="007716D7"/>
    <w:rsid w:val="00771FFB"/>
    <w:rsid w:val="007720FC"/>
    <w:rsid w:val="00772140"/>
    <w:rsid w:val="0077238D"/>
    <w:rsid w:val="00772866"/>
    <w:rsid w:val="00772BC7"/>
    <w:rsid w:val="007744ED"/>
    <w:rsid w:val="00774F11"/>
    <w:rsid w:val="00774F12"/>
    <w:rsid w:val="00774F84"/>
    <w:rsid w:val="007767C3"/>
    <w:rsid w:val="00776809"/>
    <w:rsid w:val="007768EB"/>
    <w:rsid w:val="007774B3"/>
    <w:rsid w:val="00780B7F"/>
    <w:rsid w:val="00780C9E"/>
    <w:rsid w:val="0078104C"/>
    <w:rsid w:val="00781310"/>
    <w:rsid w:val="00784225"/>
    <w:rsid w:val="00784A83"/>
    <w:rsid w:val="00785557"/>
    <w:rsid w:val="00785578"/>
    <w:rsid w:val="007858B2"/>
    <w:rsid w:val="00785A91"/>
    <w:rsid w:val="00786116"/>
    <w:rsid w:val="007870A2"/>
    <w:rsid w:val="00787A6B"/>
    <w:rsid w:val="0079022A"/>
    <w:rsid w:val="0079077E"/>
    <w:rsid w:val="00790C8B"/>
    <w:rsid w:val="007913A4"/>
    <w:rsid w:val="007938AC"/>
    <w:rsid w:val="007946C1"/>
    <w:rsid w:val="00795341"/>
    <w:rsid w:val="00795E73"/>
    <w:rsid w:val="00796E6C"/>
    <w:rsid w:val="00796F82"/>
    <w:rsid w:val="0079710D"/>
    <w:rsid w:val="00797A1D"/>
    <w:rsid w:val="00797A29"/>
    <w:rsid w:val="007A0CE9"/>
    <w:rsid w:val="007A0E5C"/>
    <w:rsid w:val="007A0E78"/>
    <w:rsid w:val="007A29E1"/>
    <w:rsid w:val="007A3047"/>
    <w:rsid w:val="007A492F"/>
    <w:rsid w:val="007A4B93"/>
    <w:rsid w:val="007A554C"/>
    <w:rsid w:val="007A6545"/>
    <w:rsid w:val="007B0270"/>
    <w:rsid w:val="007B2CE8"/>
    <w:rsid w:val="007B2ED7"/>
    <w:rsid w:val="007B31CC"/>
    <w:rsid w:val="007B3293"/>
    <w:rsid w:val="007B453E"/>
    <w:rsid w:val="007B4BFE"/>
    <w:rsid w:val="007B5266"/>
    <w:rsid w:val="007B558C"/>
    <w:rsid w:val="007B6633"/>
    <w:rsid w:val="007C0409"/>
    <w:rsid w:val="007C12E4"/>
    <w:rsid w:val="007C15C6"/>
    <w:rsid w:val="007C1728"/>
    <w:rsid w:val="007C1A94"/>
    <w:rsid w:val="007C1AD1"/>
    <w:rsid w:val="007C1DAD"/>
    <w:rsid w:val="007C2481"/>
    <w:rsid w:val="007C2AE9"/>
    <w:rsid w:val="007C390D"/>
    <w:rsid w:val="007C4BF7"/>
    <w:rsid w:val="007C55A5"/>
    <w:rsid w:val="007C5673"/>
    <w:rsid w:val="007C5F76"/>
    <w:rsid w:val="007C79C4"/>
    <w:rsid w:val="007D049E"/>
    <w:rsid w:val="007D09EE"/>
    <w:rsid w:val="007D15B8"/>
    <w:rsid w:val="007D179E"/>
    <w:rsid w:val="007D1A00"/>
    <w:rsid w:val="007D3396"/>
    <w:rsid w:val="007D34F4"/>
    <w:rsid w:val="007D4470"/>
    <w:rsid w:val="007D513F"/>
    <w:rsid w:val="007D563B"/>
    <w:rsid w:val="007D59C5"/>
    <w:rsid w:val="007D619F"/>
    <w:rsid w:val="007D624E"/>
    <w:rsid w:val="007D629E"/>
    <w:rsid w:val="007D7E3B"/>
    <w:rsid w:val="007E0179"/>
    <w:rsid w:val="007E1207"/>
    <w:rsid w:val="007E159A"/>
    <w:rsid w:val="007E20A5"/>
    <w:rsid w:val="007E2273"/>
    <w:rsid w:val="007E3250"/>
    <w:rsid w:val="007E436A"/>
    <w:rsid w:val="007E56F4"/>
    <w:rsid w:val="007E601B"/>
    <w:rsid w:val="007E7EB0"/>
    <w:rsid w:val="007F03B6"/>
    <w:rsid w:val="007F0D18"/>
    <w:rsid w:val="007F19E6"/>
    <w:rsid w:val="007F2464"/>
    <w:rsid w:val="007F642E"/>
    <w:rsid w:val="007F67CC"/>
    <w:rsid w:val="007F6B25"/>
    <w:rsid w:val="007F7F97"/>
    <w:rsid w:val="00800B80"/>
    <w:rsid w:val="00800E36"/>
    <w:rsid w:val="008011D6"/>
    <w:rsid w:val="008016D4"/>
    <w:rsid w:val="008023FC"/>
    <w:rsid w:val="008025BC"/>
    <w:rsid w:val="00802871"/>
    <w:rsid w:val="008039EF"/>
    <w:rsid w:val="008066E3"/>
    <w:rsid w:val="00806835"/>
    <w:rsid w:val="00807761"/>
    <w:rsid w:val="008118AD"/>
    <w:rsid w:val="00811E0C"/>
    <w:rsid w:val="00812078"/>
    <w:rsid w:val="00812A53"/>
    <w:rsid w:val="00812C8D"/>
    <w:rsid w:val="0081586F"/>
    <w:rsid w:val="00815CDF"/>
    <w:rsid w:val="00816022"/>
    <w:rsid w:val="008162A9"/>
    <w:rsid w:val="00816AC2"/>
    <w:rsid w:val="00820C61"/>
    <w:rsid w:val="0082179C"/>
    <w:rsid w:val="00821CBE"/>
    <w:rsid w:val="008221DF"/>
    <w:rsid w:val="00822ED2"/>
    <w:rsid w:val="008258B8"/>
    <w:rsid w:val="00826689"/>
    <w:rsid w:val="00826708"/>
    <w:rsid w:val="00830622"/>
    <w:rsid w:val="00831272"/>
    <w:rsid w:val="0083171C"/>
    <w:rsid w:val="00832514"/>
    <w:rsid w:val="00832AB0"/>
    <w:rsid w:val="00833AC2"/>
    <w:rsid w:val="00835196"/>
    <w:rsid w:val="00836CBF"/>
    <w:rsid w:val="00836FE6"/>
    <w:rsid w:val="00837AD7"/>
    <w:rsid w:val="00840592"/>
    <w:rsid w:val="0084061B"/>
    <w:rsid w:val="00840E39"/>
    <w:rsid w:val="00840E44"/>
    <w:rsid w:val="00841238"/>
    <w:rsid w:val="008415F4"/>
    <w:rsid w:val="00841974"/>
    <w:rsid w:val="008430D0"/>
    <w:rsid w:val="0084327E"/>
    <w:rsid w:val="00843303"/>
    <w:rsid w:val="00844845"/>
    <w:rsid w:val="00844C82"/>
    <w:rsid w:val="00844FA9"/>
    <w:rsid w:val="008450EE"/>
    <w:rsid w:val="00845661"/>
    <w:rsid w:val="00846D66"/>
    <w:rsid w:val="00846E7A"/>
    <w:rsid w:val="00847782"/>
    <w:rsid w:val="00850392"/>
    <w:rsid w:val="0085064D"/>
    <w:rsid w:val="0085298B"/>
    <w:rsid w:val="00852B6C"/>
    <w:rsid w:val="00854242"/>
    <w:rsid w:val="00854CA9"/>
    <w:rsid w:val="008557AA"/>
    <w:rsid w:val="00855F0A"/>
    <w:rsid w:val="008621FA"/>
    <w:rsid w:val="008623D6"/>
    <w:rsid w:val="00863205"/>
    <w:rsid w:val="00863BDF"/>
    <w:rsid w:val="008642F1"/>
    <w:rsid w:val="00865779"/>
    <w:rsid w:val="00865A73"/>
    <w:rsid w:val="008663CB"/>
    <w:rsid w:val="00866898"/>
    <w:rsid w:val="00866F67"/>
    <w:rsid w:val="00870837"/>
    <w:rsid w:val="0087693A"/>
    <w:rsid w:val="00880BFA"/>
    <w:rsid w:val="00880EBA"/>
    <w:rsid w:val="0088163B"/>
    <w:rsid w:val="00881D3A"/>
    <w:rsid w:val="00881F9C"/>
    <w:rsid w:val="008825B2"/>
    <w:rsid w:val="00882D1D"/>
    <w:rsid w:val="00883890"/>
    <w:rsid w:val="00884062"/>
    <w:rsid w:val="00884561"/>
    <w:rsid w:val="00884DD5"/>
    <w:rsid w:val="00885CE5"/>
    <w:rsid w:val="0088779D"/>
    <w:rsid w:val="008902C4"/>
    <w:rsid w:val="00890899"/>
    <w:rsid w:val="008926EB"/>
    <w:rsid w:val="00892C80"/>
    <w:rsid w:val="00892DE7"/>
    <w:rsid w:val="00893152"/>
    <w:rsid w:val="008935DE"/>
    <w:rsid w:val="008937C2"/>
    <w:rsid w:val="00894971"/>
    <w:rsid w:val="00894F25"/>
    <w:rsid w:val="00895634"/>
    <w:rsid w:val="00895B36"/>
    <w:rsid w:val="00896480"/>
    <w:rsid w:val="00896996"/>
    <w:rsid w:val="008975CD"/>
    <w:rsid w:val="0089798C"/>
    <w:rsid w:val="008A1593"/>
    <w:rsid w:val="008A28F9"/>
    <w:rsid w:val="008A59D1"/>
    <w:rsid w:val="008A6296"/>
    <w:rsid w:val="008A640A"/>
    <w:rsid w:val="008A6791"/>
    <w:rsid w:val="008A77A6"/>
    <w:rsid w:val="008A7AAD"/>
    <w:rsid w:val="008A7E8C"/>
    <w:rsid w:val="008B072E"/>
    <w:rsid w:val="008B1C44"/>
    <w:rsid w:val="008B1E7B"/>
    <w:rsid w:val="008B2C86"/>
    <w:rsid w:val="008B2D12"/>
    <w:rsid w:val="008B409F"/>
    <w:rsid w:val="008B4F0B"/>
    <w:rsid w:val="008B5639"/>
    <w:rsid w:val="008B5F49"/>
    <w:rsid w:val="008B5FCE"/>
    <w:rsid w:val="008B60A0"/>
    <w:rsid w:val="008B74D6"/>
    <w:rsid w:val="008B77E6"/>
    <w:rsid w:val="008C00A3"/>
    <w:rsid w:val="008C00D1"/>
    <w:rsid w:val="008C0531"/>
    <w:rsid w:val="008C3C55"/>
    <w:rsid w:val="008C49BA"/>
    <w:rsid w:val="008C4ED4"/>
    <w:rsid w:val="008C5442"/>
    <w:rsid w:val="008C6411"/>
    <w:rsid w:val="008C7676"/>
    <w:rsid w:val="008D1144"/>
    <w:rsid w:val="008D1699"/>
    <w:rsid w:val="008D1E7A"/>
    <w:rsid w:val="008D2162"/>
    <w:rsid w:val="008D2D27"/>
    <w:rsid w:val="008D367D"/>
    <w:rsid w:val="008D3A5F"/>
    <w:rsid w:val="008D4823"/>
    <w:rsid w:val="008D4D84"/>
    <w:rsid w:val="008D509D"/>
    <w:rsid w:val="008D5650"/>
    <w:rsid w:val="008D5788"/>
    <w:rsid w:val="008D607F"/>
    <w:rsid w:val="008D60B0"/>
    <w:rsid w:val="008D7333"/>
    <w:rsid w:val="008D7D80"/>
    <w:rsid w:val="008D7E9C"/>
    <w:rsid w:val="008E013C"/>
    <w:rsid w:val="008E04B2"/>
    <w:rsid w:val="008E0C65"/>
    <w:rsid w:val="008E2311"/>
    <w:rsid w:val="008E2416"/>
    <w:rsid w:val="008E3886"/>
    <w:rsid w:val="008E540E"/>
    <w:rsid w:val="008E63C4"/>
    <w:rsid w:val="008E6A0D"/>
    <w:rsid w:val="008E6D90"/>
    <w:rsid w:val="008E70DD"/>
    <w:rsid w:val="008E7668"/>
    <w:rsid w:val="008F0543"/>
    <w:rsid w:val="008F1615"/>
    <w:rsid w:val="008F172B"/>
    <w:rsid w:val="008F17CC"/>
    <w:rsid w:val="008F1805"/>
    <w:rsid w:val="008F2297"/>
    <w:rsid w:val="008F2964"/>
    <w:rsid w:val="008F302C"/>
    <w:rsid w:val="008F34BF"/>
    <w:rsid w:val="008F3ABB"/>
    <w:rsid w:val="008F4107"/>
    <w:rsid w:val="008F4219"/>
    <w:rsid w:val="008F42A9"/>
    <w:rsid w:val="008F4E0F"/>
    <w:rsid w:val="008F659A"/>
    <w:rsid w:val="008F6FE2"/>
    <w:rsid w:val="00900114"/>
    <w:rsid w:val="009012C7"/>
    <w:rsid w:val="009018DF"/>
    <w:rsid w:val="00902935"/>
    <w:rsid w:val="0090360A"/>
    <w:rsid w:val="00903B6A"/>
    <w:rsid w:val="00903D2F"/>
    <w:rsid w:val="00903EEF"/>
    <w:rsid w:val="00904A71"/>
    <w:rsid w:val="00905D26"/>
    <w:rsid w:val="009060CA"/>
    <w:rsid w:val="00907762"/>
    <w:rsid w:val="009108C1"/>
    <w:rsid w:val="00910C47"/>
    <w:rsid w:val="0091104E"/>
    <w:rsid w:val="009119DC"/>
    <w:rsid w:val="00911EA1"/>
    <w:rsid w:val="009125A7"/>
    <w:rsid w:val="00914A57"/>
    <w:rsid w:val="00914BA4"/>
    <w:rsid w:val="009158AF"/>
    <w:rsid w:val="00916169"/>
    <w:rsid w:val="00917836"/>
    <w:rsid w:val="00920521"/>
    <w:rsid w:val="0092076E"/>
    <w:rsid w:val="00920ECB"/>
    <w:rsid w:val="00920F27"/>
    <w:rsid w:val="00921410"/>
    <w:rsid w:val="00921709"/>
    <w:rsid w:val="009217D3"/>
    <w:rsid w:val="00921F08"/>
    <w:rsid w:val="009223C9"/>
    <w:rsid w:val="00922C0F"/>
    <w:rsid w:val="009233A2"/>
    <w:rsid w:val="009237BD"/>
    <w:rsid w:val="00925644"/>
    <w:rsid w:val="009260D4"/>
    <w:rsid w:val="009261F3"/>
    <w:rsid w:val="00926E34"/>
    <w:rsid w:val="00927191"/>
    <w:rsid w:val="009304F0"/>
    <w:rsid w:val="00930669"/>
    <w:rsid w:val="00931926"/>
    <w:rsid w:val="00931ADE"/>
    <w:rsid w:val="00931E67"/>
    <w:rsid w:val="00932888"/>
    <w:rsid w:val="00932DDE"/>
    <w:rsid w:val="00933288"/>
    <w:rsid w:val="0093345A"/>
    <w:rsid w:val="0093388A"/>
    <w:rsid w:val="00933A5F"/>
    <w:rsid w:val="0093484A"/>
    <w:rsid w:val="00935771"/>
    <w:rsid w:val="00935795"/>
    <w:rsid w:val="00936917"/>
    <w:rsid w:val="00937113"/>
    <w:rsid w:val="00937370"/>
    <w:rsid w:val="00937CA0"/>
    <w:rsid w:val="00941DA8"/>
    <w:rsid w:val="00942D30"/>
    <w:rsid w:val="00943141"/>
    <w:rsid w:val="0094494C"/>
    <w:rsid w:val="00944DA3"/>
    <w:rsid w:val="00946774"/>
    <w:rsid w:val="009471B9"/>
    <w:rsid w:val="009506E0"/>
    <w:rsid w:val="009509CB"/>
    <w:rsid w:val="00951506"/>
    <w:rsid w:val="0095177B"/>
    <w:rsid w:val="00953BB8"/>
    <w:rsid w:val="0095402B"/>
    <w:rsid w:val="00954F2D"/>
    <w:rsid w:val="0095528D"/>
    <w:rsid w:val="0095605D"/>
    <w:rsid w:val="009578D8"/>
    <w:rsid w:val="00957AB0"/>
    <w:rsid w:val="00957B6D"/>
    <w:rsid w:val="00963657"/>
    <w:rsid w:val="00964DF8"/>
    <w:rsid w:val="009657F8"/>
    <w:rsid w:val="00966605"/>
    <w:rsid w:val="00966E6E"/>
    <w:rsid w:val="009673E5"/>
    <w:rsid w:val="00970A7B"/>
    <w:rsid w:val="00973227"/>
    <w:rsid w:val="00974847"/>
    <w:rsid w:val="00975FF5"/>
    <w:rsid w:val="00977671"/>
    <w:rsid w:val="009776D9"/>
    <w:rsid w:val="00977F72"/>
    <w:rsid w:val="00980BC2"/>
    <w:rsid w:val="0098183E"/>
    <w:rsid w:val="00982CEA"/>
    <w:rsid w:val="009841B7"/>
    <w:rsid w:val="00984395"/>
    <w:rsid w:val="00985CEB"/>
    <w:rsid w:val="00986439"/>
    <w:rsid w:val="009864C0"/>
    <w:rsid w:val="00986780"/>
    <w:rsid w:val="009878C1"/>
    <w:rsid w:val="009879C3"/>
    <w:rsid w:val="009901D3"/>
    <w:rsid w:val="00990613"/>
    <w:rsid w:val="00993FF2"/>
    <w:rsid w:val="0099562D"/>
    <w:rsid w:val="009956CA"/>
    <w:rsid w:val="009968C2"/>
    <w:rsid w:val="0099708B"/>
    <w:rsid w:val="00997790"/>
    <w:rsid w:val="00997CFD"/>
    <w:rsid w:val="009A01C5"/>
    <w:rsid w:val="009A1DB6"/>
    <w:rsid w:val="009A26E6"/>
    <w:rsid w:val="009A3491"/>
    <w:rsid w:val="009A37FE"/>
    <w:rsid w:val="009A436A"/>
    <w:rsid w:val="009A4436"/>
    <w:rsid w:val="009A45E0"/>
    <w:rsid w:val="009A4D9D"/>
    <w:rsid w:val="009A50C6"/>
    <w:rsid w:val="009A63AF"/>
    <w:rsid w:val="009A6460"/>
    <w:rsid w:val="009A6819"/>
    <w:rsid w:val="009A6950"/>
    <w:rsid w:val="009A758A"/>
    <w:rsid w:val="009A7613"/>
    <w:rsid w:val="009A7A09"/>
    <w:rsid w:val="009B07AF"/>
    <w:rsid w:val="009B18BA"/>
    <w:rsid w:val="009B1BD1"/>
    <w:rsid w:val="009B1D53"/>
    <w:rsid w:val="009B3A6A"/>
    <w:rsid w:val="009B3C06"/>
    <w:rsid w:val="009B52CD"/>
    <w:rsid w:val="009B553F"/>
    <w:rsid w:val="009B5A4D"/>
    <w:rsid w:val="009B6F6C"/>
    <w:rsid w:val="009B7192"/>
    <w:rsid w:val="009B71AF"/>
    <w:rsid w:val="009B78C5"/>
    <w:rsid w:val="009B7995"/>
    <w:rsid w:val="009B7A51"/>
    <w:rsid w:val="009B7D1D"/>
    <w:rsid w:val="009B7F51"/>
    <w:rsid w:val="009C0785"/>
    <w:rsid w:val="009C0824"/>
    <w:rsid w:val="009C1651"/>
    <w:rsid w:val="009C171A"/>
    <w:rsid w:val="009C2B3D"/>
    <w:rsid w:val="009C31CC"/>
    <w:rsid w:val="009C50DD"/>
    <w:rsid w:val="009C545E"/>
    <w:rsid w:val="009C6290"/>
    <w:rsid w:val="009C6309"/>
    <w:rsid w:val="009C7741"/>
    <w:rsid w:val="009C78B3"/>
    <w:rsid w:val="009D12EA"/>
    <w:rsid w:val="009D19F9"/>
    <w:rsid w:val="009D31AD"/>
    <w:rsid w:val="009D44CF"/>
    <w:rsid w:val="009D4860"/>
    <w:rsid w:val="009D48CC"/>
    <w:rsid w:val="009D4CE2"/>
    <w:rsid w:val="009D5A54"/>
    <w:rsid w:val="009D7045"/>
    <w:rsid w:val="009E0154"/>
    <w:rsid w:val="009E0B6E"/>
    <w:rsid w:val="009E208D"/>
    <w:rsid w:val="009E30FD"/>
    <w:rsid w:val="009E3D90"/>
    <w:rsid w:val="009E3F84"/>
    <w:rsid w:val="009E543A"/>
    <w:rsid w:val="009E5586"/>
    <w:rsid w:val="009E60AA"/>
    <w:rsid w:val="009E712B"/>
    <w:rsid w:val="009F084C"/>
    <w:rsid w:val="009F09C7"/>
    <w:rsid w:val="009F34EA"/>
    <w:rsid w:val="009F5370"/>
    <w:rsid w:val="009F59E5"/>
    <w:rsid w:val="009F688F"/>
    <w:rsid w:val="009F6D58"/>
    <w:rsid w:val="009F70C1"/>
    <w:rsid w:val="009F722E"/>
    <w:rsid w:val="00A00279"/>
    <w:rsid w:val="00A009A8"/>
    <w:rsid w:val="00A01463"/>
    <w:rsid w:val="00A01821"/>
    <w:rsid w:val="00A02028"/>
    <w:rsid w:val="00A02157"/>
    <w:rsid w:val="00A021E2"/>
    <w:rsid w:val="00A0229E"/>
    <w:rsid w:val="00A02398"/>
    <w:rsid w:val="00A029E4"/>
    <w:rsid w:val="00A02A77"/>
    <w:rsid w:val="00A051D9"/>
    <w:rsid w:val="00A05284"/>
    <w:rsid w:val="00A061A7"/>
    <w:rsid w:val="00A062D1"/>
    <w:rsid w:val="00A06667"/>
    <w:rsid w:val="00A06BB6"/>
    <w:rsid w:val="00A07466"/>
    <w:rsid w:val="00A079D0"/>
    <w:rsid w:val="00A1078B"/>
    <w:rsid w:val="00A10B11"/>
    <w:rsid w:val="00A10C3B"/>
    <w:rsid w:val="00A10E5D"/>
    <w:rsid w:val="00A123C0"/>
    <w:rsid w:val="00A123E1"/>
    <w:rsid w:val="00A12628"/>
    <w:rsid w:val="00A12BF8"/>
    <w:rsid w:val="00A12ED3"/>
    <w:rsid w:val="00A13563"/>
    <w:rsid w:val="00A13926"/>
    <w:rsid w:val="00A15DFB"/>
    <w:rsid w:val="00A16C46"/>
    <w:rsid w:val="00A17051"/>
    <w:rsid w:val="00A200D7"/>
    <w:rsid w:val="00A202D5"/>
    <w:rsid w:val="00A2052F"/>
    <w:rsid w:val="00A20FBC"/>
    <w:rsid w:val="00A212BD"/>
    <w:rsid w:val="00A212D5"/>
    <w:rsid w:val="00A21824"/>
    <w:rsid w:val="00A21C42"/>
    <w:rsid w:val="00A2220B"/>
    <w:rsid w:val="00A226E4"/>
    <w:rsid w:val="00A2275E"/>
    <w:rsid w:val="00A23799"/>
    <w:rsid w:val="00A24D62"/>
    <w:rsid w:val="00A24F7A"/>
    <w:rsid w:val="00A263EA"/>
    <w:rsid w:val="00A27058"/>
    <w:rsid w:val="00A27C10"/>
    <w:rsid w:val="00A30AED"/>
    <w:rsid w:val="00A31F14"/>
    <w:rsid w:val="00A33B0C"/>
    <w:rsid w:val="00A33BB9"/>
    <w:rsid w:val="00A3468A"/>
    <w:rsid w:val="00A35800"/>
    <w:rsid w:val="00A35DE3"/>
    <w:rsid w:val="00A35E78"/>
    <w:rsid w:val="00A35F81"/>
    <w:rsid w:val="00A36AAB"/>
    <w:rsid w:val="00A36F08"/>
    <w:rsid w:val="00A3792B"/>
    <w:rsid w:val="00A37A4F"/>
    <w:rsid w:val="00A407DF"/>
    <w:rsid w:val="00A408D9"/>
    <w:rsid w:val="00A43848"/>
    <w:rsid w:val="00A43B74"/>
    <w:rsid w:val="00A44950"/>
    <w:rsid w:val="00A457C1"/>
    <w:rsid w:val="00A45F33"/>
    <w:rsid w:val="00A46808"/>
    <w:rsid w:val="00A47105"/>
    <w:rsid w:val="00A47D8D"/>
    <w:rsid w:val="00A47DB1"/>
    <w:rsid w:val="00A50EE4"/>
    <w:rsid w:val="00A51ECA"/>
    <w:rsid w:val="00A52E33"/>
    <w:rsid w:val="00A53847"/>
    <w:rsid w:val="00A541BB"/>
    <w:rsid w:val="00A5432F"/>
    <w:rsid w:val="00A5458E"/>
    <w:rsid w:val="00A5500D"/>
    <w:rsid w:val="00A55690"/>
    <w:rsid w:val="00A55D1B"/>
    <w:rsid w:val="00A5668B"/>
    <w:rsid w:val="00A56731"/>
    <w:rsid w:val="00A60F55"/>
    <w:rsid w:val="00A6167F"/>
    <w:rsid w:val="00A621EA"/>
    <w:rsid w:val="00A66561"/>
    <w:rsid w:val="00A66A32"/>
    <w:rsid w:val="00A66B0B"/>
    <w:rsid w:val="00A66C5F"/>
    <w:rsid w:val="00A6721D"/>
    <w:rsid w:val="00A70109"/>
    <w:rsid w:val="00A71AD9"/>
    <w:rsid w:val="00A7255C"/>
    <w:rsid w:val="00A72790"/>
    <w:rsid w:val="00A7292D"/>
    <w:rsid w:val="00A72B7E"/>
    <w:rsid w:val="00A72E48"/>
    <w:rsid w:val="00A738C5"/>
    <w:rsid w:val="00A739CA"/>
    <w:rsid w:val="00A747CA"/>
    <w:rsid w:val="00A754FD"/>
    <w:rsid w:val="00A75DAB"/>
    <w:rsid w:val="00A76113"/>
    <w:rsid w:val="00A7620F"/>
    <w:rsid w:val="00A7625F"/>
    <w:rsid w:val="00A76658"/>
    <w:rsid w:val="00A76AA8"/>
    <w:rsid w:val="00A77289"/>
    <w:rsid w:val="00A77918"/>
    <w:rsid w:val="00A779AE"/>
    <w:rsid w:val="00A80048"/>
    <w:rsid w:val="00A83426"/>
    <w:rsid w:val="00A840C2"/>
    <w:rsid w:val="00A843F0"/>
    <w:rsid w:val="00A84498"/>
    <w:rsid w:val="00A84E86"/>
    <w:rsid w:val="00A84FED"/>
    <w:rsid w:val="00A8653F"/>
    <w:rsid w:val="00A86D33"/>
    <w:rsid w:val="00A87905"/>
    <w:rsid w:val="00A87A93"/>
    <w:rsid w:val="00A9216A"/>
    <w:rsid w:val="00A92621"/>
    <w:rsid w:val="00A92B53"/>
    <w:rsid w:val="00A92C52"/>
    <w:rsid w:val="00A9314D"/>
    <w:rsid w:val="00A93189"/>
    <w:rsid w:val="00A93EF1"/>
    <w:rsid w:val="00A944F2"/>
    <w:rsid w:val="00A954FB"/>
    <w:rsid w:val="00A95714"/>
    <w:rsid w:val="00A95CA2"/>
    <w:rsid w:val="00A95FAE"/>
    <w:rsid w:val="00A97552"/>
    <w:rsid w:val="00A976C1"/>
    <w:rsid w:val="00A97AF4"/>
    <w:rsid w:val="00AA1ED7"/>
    <w:rsid w:val="00AA227F"/>
    <w:rsid w:val="00AA2521"/>
    <w:rsid w:val="00AA3CE2"/>
    <w:rsid w:val="00AA495B"/>
    <w:rsid w:val="00AA666F"/>
    <w:rsid w:val="00AA7523"/>
    <w:rsid w:val="00AB050F"/>
    <w:rsid w:val="00AB204D"/>
    <w:rsid w:val="00AB20B9"/>
    <w:rsid w:val="00AB2237"/>
    <w:rsid w:val="00AB2A62"/>
    <w:rsid w:val="00AB3A24"/>
    <w:rsid w:val="00AB4930"/>
    <w:rsid w:val="00AB66C7"/>
    <w:rsid w:val="00AB770F"/>
    <w:rsid w:val="00AB7CCC"/>
    <w:rsid w:val="00AC0A9D"/>
    <w:rsid w:val="00AC3065"/>
    <w:rsid w:val="00AC30A3"/>
    <w:rsid w:val="00AC30E8"/>
    <w:rsid w:val="00AC45AD"/>
    <w:rsid w:val="00AC49B7"/>
    <w:rsid w:val="00AC522A"/>
    <w:rsid w:val="00AC6CD1"/>
    <w:rsid w:val="00AC6D6D"/>
    <w:rsid w:val="00AC729C"/>
    <w:rsid w:val="00AC7933"/>
    <w:rsid w:val="00AD0B69"/>
    <w:rsid w:val="00AD11A7"/>
    <w:rsid w:val="00AD18AF"/>
    <w:rsid w:val="00AD1AC6"/>
    <w:rsid w:val="00AD23FF"/>
    <w:rsid w:val="00AD30E5"/>
    <w:rsid w:val="00AD3593"/>
    <w:rsid w:val="00AD4195"/>
    <w:rsid w:val="00AD42DC"/>
    <w:rsid w:val="00AD4680"/>
    <w:rsid w:val="00AD4C66"/>
    <w:rsid w:val="00AD5D3E"/>
    <w:rsid w:val="00AD5FA1"/>
    <w:rsid w:val="00AD759D"/>
    <w:rsid w:val="00AD7C8B"/>
    <w:rsid w:val="00AE1E37"/>
    <w:rsid w:val="00AE231D"/>
    <w:rsid w:val="00AE2993"/>
    <w:rsid w:val="00AE320E"/>
    <w:rsid w:val="00AE3C8B"/>
    <w:rsid w:val="00AE48B5"/>
    <w:rsid w:val="00AE4952"/>
    <w:rsid w:val="00AE56F9"/>
    <w:rsid w:val="00AE579C"/>
    <w:rsid w:val="00AE58C9"/>
    <w:rsid w:val="00AE5CC1"/>
    <w:rsid w:val="00AE6BB5"/>
    <w:rsid w:val="00AE6C9D"/>
    <w:rsid w:val="00AE73FC"/>
    <w:rsid w:val="00AE7712"/>
    <w:rsid w:val="00AE774A"/>
    <w:rsid w:val="00AE787E"/>
    <w:rsid w:val="00AF080C"/>
    <w:rsid w:val="00AF0B5E"/>
    <w:rsid w:val="00AF128A"/>
    <w:rsid w:val="00AF1525"/>
    <w:rsid w:val="00AF3FB6"/>
    <w:rsid w:val="00AF6A93"/>
    <w:rsid w:val="00AF7108"/>
    <w:rsid w:val="00AF7730"/>
    <w:rsid w:val="00AF7807"/>
    <w:rsid w:val="00AF78A7"/>
    <w:rsid w:val="00AF7B36"/>
    <w:rsid w:val="00B00589"/>
    <w:rsid w:val="00B00E29"/>
    <w:rsid w:val="00B011A4"/>
    <w:rsid w:val="00B023C0"/>
    <w:rsid w:val="00B03023"/>
    <w:rsid w:val="00B0424A"/>
    <w:rsid w:val="00B0495E"/>
    <w:rsid w:val="00B05199"/>
    <w:rsid w:val="00B05634"/>
    <w:rsid w:val="00B05680"/>
    <w:rsid w:val="00B101B1"/>
    <w:rsid w:val="00B108E0"/>
    <w:rsid w:val="00B11AE5"/>
    <w:rsid w:val="00B11B5B"/>
    <w:rsid w:val="00B11DE0"/>
    <w:rsid w:val="00B12A03"/>
    <w:rsid w:val="00B12E1D"/>
    <w:rsid w:val="00B13479"/>
    <w:rsid w:val="00B138C5"/>
    <w:rsid w:val="00B176BF"/>
    <w:rsid w:val="00B21D97"/>
    <w:rsid w:val="00B22BA6"/>
    <w:rsid w:val="00B2373F"/>
    <w:rsid w:val="00B23E81"/>
    <w:rsid w:val="00B2430D"/>
    <w:rsid w:val="00B24C21"/>
    <w:rsid w:val="00B25100"/>
    <w:rsid w:val="00B25488"/>
    <w:rsid w:val="00B274FA"/>
    <w:rsid w:val="00B275FE"/>
    <w:rsid w:val="00B27863"/>
    <w:rsid w:val="00B27C86"/>
    <w:rsid w:val="00B305A6"/>
    <w:rsid w:val="00B311C7"/>
    <w:rsid w:val="00B314EE"/>
    <w:rsid w:val="00B31E6E"/>
    <w:rsid w:val="00B324B4"/>
    <w:rsid w:val="00B33B27"/>
    <w:rsid w:val="00B347F5"/>
    <w:rsid w:val="00B35254"/>
    <w:rsid w:val="00B365A6"/>
    <w:rsid w:val="00B370BD"/>
    <w:rsid w:val="00B376D0"/>
    <w:rsid w:val="00B407A1"/>
    <w:rsid w:val="00B42F27"/>
    <w:rsid w:val="00B432AF"/>
    <w:rsid w:val="00B4399D"/>
    <w:rsid w:val="00B440B1"/>
    <w:rsid w:val="00B44B2C"/>
    <w:rsid w:val="00B45EC1"/>
    <w:rsid w:val="00B46D19"/>
    <w:rsid w:val="00B47075"/>
    <w:rsid w:val="00B47A83"/>
    <w:rsid w:val="00B5093D"/>
    <w:rsid w:val="00B51C73"/>
    <w:rsid w:val="00B52E45"/>
    <w:rsid w:val="00B53B92"/>
    <w:rsid w:val="00B54813"/>
    <w:rsid w:val="00B5544D"/>
    <w:rsid w:val="00B56549"/>
    <w:rsid w:val="00B56E3F"/>
    <w:rsid w:val="00B57536"/>
    <w:rsid w:val="00B57895"/>
    <w:rsid w:val="00B60EE1"/>
    <w:rsid w:val="00B60F8B"/>
    <w:rsid w:val="00B62606"/>
    <w:rsid w:val="00B62E2E"/>
    <w:rsid w:val="00B62EA1"/>
    <w:rsid w:val="00B63A6C"/>
    <w:rsid w:val="00B63AD0"/>
    <w:rsid w:val="00B63E9C"/>
    <w:rsid w:val="00B656D0"/>
    <w:rsid w:val="00B65B95"/>
    <w:rsid w:val="00B660B9"/>
    <w:rsid w:val="00B6630A"/>
    <w:rsid w:val="00B67E09"/>
    <w:rsid w:val="00B7074D"/>
    <w:rsid w:val="00B707E4"/>
    <w:rsid w:val="00B7083D"/>
    <w:rsid w:val="00B70AB8"/>
    <w:rsid w:val="00B724FF"/>
    <w:rsid w:val="00B734CC"/>
    <w:rsid w:val="00B747C9"/>
    <w:rsid w:val="00B747D9"/>
    <w:rsid w:val="00B74966"/>
    <w:rsid w:val="00B755AA"/>
    <w:rsid w:val="00B765B7"/>
    <w:rsid w:val="00B76C8A"/>
    <w:rsid w:val="00B773DE"/>
    <w:rsid w:val="00B77449"/>
    <w:rsid w:val="00B776CE"/>
    <w:rsid w:val="00B778B3"/>
    <w:rsid w:val="00B80F5A"/>
    <w:rsid w:val="00B812C9"/>
    <w:rsid w:val="00B8220E"/>
    <w:rsid w:val="00B82664"/>
    <w:rsid w:val="00B8266D"/>
    <w:rsid w:val="00B82A61"/>
    <w:rsid w:val="00B84CBF"/>
    <w:rsid w:val="00B84D09"/>
    <w:rsid w:val="00B8574F"/>
    <w:rsid w:val="00B8755E"/>
    <w:rsid w:val="00B87886"/>
    <w:rsid w:val="00B87EF7"/>
    <w:rsid w:val="00B92A5B"/>
    <w:rsid w:val="00B92A7E"/>
    <w:rsid w:val="00B93808"/>
    <w:rsid w:val="00B93926"/>
    <w:rsid w:val="00B94982"/>
    <w:rsid w:val="00B94996"/>
    <w:rsid w:val="00B94DB8"/>
    <w:rsid w:val="00B95C7F"/>
    <w:rsid w:val="00B97E9E"/>
    <w:rsid w:val="00BA10FF"/>
    <w:rsid w:val="00BA1642"/>
    <w:rsid w:val="00BA256E"/>
    <w:rsid w:val="00BA2699"/>
    <w:rsid w:val="00BA2783"/>
    <w:rsid w:val="00BA319A"/>
    <w:rsid w:val="00BA331F"/>
    <w:rsid w:val="00BA413D"/>
    <w:rsid w:val="00BA46FE"/>
    <w:rsid w:val="00BA4A9B"/>
    <w:rsid w:val="00BA556C"/>
    <w:rsid w:val="00BA64C8"/>
    <w:rsid w:val="00BB0B14"/>
    <w:rsid w:val="00BB17DA"/>
    <w:rsid w:val="00BB1EC1"/>
    <w:rsid w:val="00BB29A9"/>
    <w:rsid w:val="00BB31BB"/>
    <w:rsid w:val="00BB32F8"/>
    <w:rsid w:val="00BB3365"/>
    <w:rsid w:val="00BB3F2F"/>
    <w:rsid w:val="00BB434F"/>
    <w:rsid w:val="00BB4726"/>
    <w:rsid w:val="00BC028E"/>
    <w:rsid w:val="00BC1EC7"/>
    <w:rsid w:val="00BC3D66"/>
    <w:rsid w:val="00BC3FD5"/>
    <w:rsid w:val="00BC5757"/>
    <w:rsid w:val="00BC6B1E"/>
    <w:rsid w:val="00BC6D23"/>
    <w:rsid w:val="00BD0130"/>
    <w:rsid w:val="00BD13F1"/>
    <w:rsid w:val="00BD2316"/>
    <w:rsid w:val="00BD335C"/>
    <w:rsid w:val="00BD385D"/>
    <w:rsid w:val="00BD38E6"/>
    <w:rsid w:val="00BD3C4F"/>
    <w:rsid w:val="00BD427B"/>
    <w:rsid w:val="00BD4480"/>
    <w:rsid w:val="00BD54EF"/>
    <w:rsid w:val="00BD558C"/>
    <w:rsid w:val="00BD569B"/>
    <w:rsid w:val="00BD6081"/>
    <w:rsid w:val="00BD66D2"/>
    <w:rsid w:val="00BD6F74"/>
    <w:rsid w:val="00BD72D9"/>
    <w:rsid w:val="00BD72EF"/>
    <w:rsid w:val="00BE0446"/>
    <w:rsid w:val="00BE0D68"/>
    <w:rsid w:val="00BE0E8A"/>
    <w:rsid w:val="00BE169C"/>
    <w:rsid w:val="00BE2188"/>
    <w:rsid w:val="00BE2EA9"/>
    <w:rsid w:val="00BE3DFD"/>
    <w:rsid w:val="00BE4154"/>
    <w:rsid w:val="00BE514E"/>
    <w:rsid w:val="00BE5E1F"/>
    <w:rsid w:val="00BE60CD"/>
    <w:rsid w:val="00BE656D"/>
    <w:rsid w:val="00BE7551"/>
    <w:rsid w:val="00BE7FFB"/>
    <w:rsid w:val="00BF0552"/>
    <w:rsid w:val="00BF082E"/>
    <w:rsid w:val="00BF0BAE"/>
    <w:rsid w:val="00BF156B"/>
    <w:rsid w:val="00BF1F39"/>
    <w:rsid w:val="00BF2DCB"/>
    <w:rsid w:val="00BF2E13"/>
    <w:rsid w:val="00BF4B55"/>
    <w:rsid w:val="00BF61C0"/>
    <w:rsid w:val="00BF66C7"/>
    <w:rsid w:val="00BF6788"/>
    <w:rsid w:val="00BF6A6E"/>
    <w:rsid w:val="00BF7804"/>
    <w:rsid w:val="00BF789A"/>
    <w:rsid w:val="00BF79D7"/>
    <w:rsid w:val="00C0025F"/>
    <w:rsid w:val="00C00338"/>
    <w:rsid w:val="00C0060E"/>
    <w:rsid w:val="00C011EF"/>
    <w:rsid w:val="00C015E7"/>
    <w:rsid w:val="00C01B18"/>
    <w:rsid w:val="00C025EF"/>
    <w:rsid w:val="00C03800"/>
    <w:rsid w:val="00C03876"/>
    <w:rsid w:val="00C052CC"/>
    <w:rsid w:val="00C058EC"/>
    <w:rsid w:val="00C062D0"/>
    <w:rsid w:val="00C066CD"/>
    <w:rsid w:val="00C0691C"/>
    <w:rsid w:val="00C0691E"/>
    <w:rsid w:val="00C06A5F"/>
    <w:rsid w:val="00C07BFE"/>
    <w:rsid w:val="00C10E67"/>
    <w:rsid w:val="00C11C81"/>
    <w:rsid w:val="00C11E38"/>
    <w:rsid w:val="00C13E49"/>
    <w:rsid w:val="00C147F8"/>
    <w:rsid w:val="00C16155"/>
    <w:rsid w:val="00C1632A"/>
    <w:rsid w:val="00C16BBF"/>
    <w:rsid w:val="00C17086"/>
    <w:rsid w:val="00C17272"/>
    <w:rsid w:val="00C20257"/>
    <w:rsid w:val="00C210C2"/>
    <w:rsid w:val="00C211FA"/>
    <w:rsid w:val="00C221DD"/>
    <w:rsid w:val="00C22441"/>
    <w:rsid w:val="00C2273D"/>
    <w:rsid w:val="00C2278F"/>
    <w:rsid w:val="00C2331A"/>
    <w:rsid w:val="00C23827"/>
    <w:rsid w:val="00C24670"/>
    <w:rsid w:val="00C24672"/>
    <w:rsid w:val="00C249BF"/>
    <w:rsid w:val="00C24E8F"/>
    <w:rsid w:val="00C277C9"/>
    <w:rsid w:val="00C3012D"/>
    <w:rsid w:val="00C306EC"/>
    <w:rsid w:val="00C30A84"/>
    <w:rsid w:val="00C31D4C"/>
    <w:rsid w:val="00C31F8C"/>
    <w:rsid w:val="00C32248"/>
    <w:rsid w:val="00C34AA1"/>
    <w:rsid w:val="00C357DF"/>
    <w:rsid w:val="00C35877"/>
    <w:rsid w:val="00C36AB5"/>
    <w:rsid w:val="00C36C7B"/>
    <w:rsid w:val="00C37543"/>
    <w:rsid w:val="00C37906"/>
    <w:rsid w:val="00C37F17"/>
    <w:rsid w:val="00C403D4"/>
    <w:rsid w:val="00C40B73"/>
    <w:rsid w:val="00C40C57"/>
    <w:rsid w:val="00C40DA9"/>
    <w:rsid w:val="00C4139C"/>
    <w:rsid w:val="00C41E45"/>
    <w:rsid w:val="00C44DDA"/>
    <w:rsid w:val="00C45D08"/>
    <w:rsid w:val="00C4681E"/>
    <w:rsid w:val="00C46BA2"/>
    <w:rsid w:val="00C50144"/>
    <w:rsid w:val="00C504FC"/>
    <w:rsid w:val="00C523D6"/>
    <w:rsid w:val="00C533E4"/>
    <w:rsid w:val="00C540F3"/>
    <w:rsid w:val="00C55201"/>
    <w:rsid w:val="00C55252"/>
    <w:rsid w:val="00C558BB"/>
    <w:rsid w:val="00C561CB"/>
    <w:rsid w:val="00C567C1"/>
    <w:rsid w:val="00C569D9"/>
    <w:rsid w:val="00C57EEF"/>
    <w:rsid w:val="00C57EFE"/>
    <w:rsid w:val="00C614BF"/>
    <w:rsid w:val="00C61757"/>
    <w:rsid w:val="00C61C0B"/>
    <w:rsid w:val="00C626EB"/>
    <w:rsid w:val="00C62BCA"/>
    <w:rsid w:val="00C62EB1"/>
    <w:rsid w:val="00C63B88"/>
    <w:rsid w:val="00C63FF4"/>
    <w:rsid w:val="00C65B7C"/>
    <w:rsid w:val="00C6705A"/>
    <w:rsid w:val="00C67827"/>
    <w:rsid w:val="00C67B9F"/>
    <w:rsid w:val="00C7073D"/>
    <w:rsid w:val="00C70DA3"/>
    <w:rsid w:val="00C71B6A"/>
    <w:rsid w:val="00C723A1"/>
    <w:rsid w:val="00C72BAC"/>
    <w:rsid w:val="00C72DB0"/>
    <w:rsid w:val="00C73357"/>
    <w:rsid w:val="00C7388A"/>
    <w:rsid w:val="00C7429E"/>
    <w:rsid w:val="00C75709"/>
    <w:rsid w:val="00C77EF5"/>
    <w:rsid w:val="00C810D3"/>
    <w:rsid w:val="00C811CD"/>
    <w:rsid w:val="00C811D8"/>
    <w:rsid w:val="00C8195B"/>
    <w:rsid w:val="00C81E66"/>
    <w:rsid w:val="00C821FF"/>
    <w:rsid w:val="00C822E8"/>
    <w:rsid w:val="00C82D5F"/>
    <w:rsid w:val="00C84155"/>
    <w:rsid w:val="00C85DF5"/>
    <w:rsid w:val="00C87B32"/>
    <w:rsid w:val="00C87C32"/>
    <w:rsid w:val="00C9025F"/>
    <w:rsid w:val="00C9153F"/>
    <w:rsid w:val="00C92473"/>
    <w:rsid w:val="00C93598"/>
    <w:rsid w:val="00C93AE4"/>
    <w:rsid w:val="00C95878"/>
    <w:rsid w:val="00C95D56"/>
    <w:rsid w:val="00C96AF9"/>
    <w:rsid w:val="00C97937"/>
    <w:rsid w:val="00CA11BD"/>
    <w:rsid w:val="00CA13F7"/>
    <w:rsid w:val="00CA18B9"/>
    <w:rsid w:val="00CA1D4C"/>
    <w:rsid w:val="00CA1E70"/>
    <w:rsid w:val="00CA2B01"/>
    <w:rsid w:val="00CA2F81"/>
    <w:rsid w:val="00CA6916"/>
    <w:rsid w:val="00CA6A30"/>
    <w:rsid w:val="00CA7A06"/>
    <w:rsid w:val="00CA7F56"/>
    <w:rsid w:val="00CB0296"/>
    <w:rsid w:val="00CB0602"/>
    <w:rsid w:val="00CB07E1"/>
    <w:rsid w:val="00CB108E"/>
    <w:rsid w:val="00CB14BF"/>
    <w:rsid w:val="00CB1DC2"/>
    <w:rsid w:val="00CB1F05"/>
    <w:rsid w:val="00CB2904"/>
    <w:rsid w:val="00CB302D"/>
    <w:rsid w:val="00CB4022"/>
    <w:rsid w:val="00CB5C8E"/>
    <w:rsid w:val="00CB70F9"/>
    <w:rsid w:val="00CC0B73"/>
    <w:rsid w:val="00CC1458"/>
    <w:rsid w:val="00CC2D9B"/>
    <w:rsid w:val="00CC38B7"/>
    <w:rsid w:val="00CC4731"/>
    <w:rsid w:val="00CC5055"/>
    <w:rsid w:val="00CC5B32"/>
    <w:rsid w:val="00CC5C28"/>
    <w:rsid w:val="00CC620E"/>
    <w:rsid w:val="00CC66DC"/>
    <w:rsid w:val="00CC72BC"/>
    <w:rsid w:val="00CD0645"/>
    <w:rsid w:val="00CD071D"/>
    <w:rsid w:val="00CD1360"/>
    <w:rsid w:val="00CD15AB"/>
    <w:rsid w:val="00CD1B0B"/>
    <w:rsid w:val="00CD2002"/>
    <w:rsid w:val="00CD2B57"/>
    <w:rsid w:val="00CD39F9"/>
    <w:rsid w:val="00CD490E"/>
    <w:rsid w:val="00CD4B5A"/>
    <w:rsid w:val="00CD5072"/>
    <w:rsid w:val="00CD5B97"/>
    <w:rsid w:val="00CD5E99"/>
    <w:rsid w:val="00CD5FDB"/>
    <w:rsid w:val="00CD63A1"/>
    <w:rsid w:val="00CD6D5E"/>
    <w:rsid w:val="00CD7B0B"/>
    <w:rsid w:val="00CE00EC"/>
    <w:rsid w:val="00CE1687"/>
    <w:rsid w:val="00CE2F35"/>
    <w:rsid w:val="00CE2F87"/>
    <w:rsid w:val="00CE3495"/>
    <w:rsid w:val="00CE49CB"/>
    <w:rsid w:val="00CE4C04"/>
    <w:rsid w:val="00CE5167"/>
    <w:rsid w:val="00CE5647"/>
    <w:rsid w:val="00CE5E41"/>
    <w:rsid w:val="00CE5EEE"/>
    <w:rsid w:val="00CE6B8D"/>
    <w:rsid w:val="00CE76C4"/>
    <w:rsid w:val="00CE77EA"/>
    <w:rsid w:val="00CE7AB3"/>
    <w:rsid w:val="00CF0315"/>
    <w:rsid w:val="00CF0546"/>
    <w:rsid w:val="00CF12DF"/>
    <w:rsid w:val="00CF1326"/>
    <w:rsid w:val="00CF1C04"/>
    <w:rsid w:val="00CF1C25"/>
    <w:rsid w:val="00CF24E7"/>
    <w:rsid w:val="00CF2FD3"/>
    <w:rsid w:val="00CF3144"/>
    <w:rsid w:val="00CF4828"/>
    <w:rsid w:val="00CF523E"/>
    <w:rsid w:val="00CF54E3"/>
    <w:rsid w:val="00CF75E8"/>
    <w:rsid w:val="00CF79C6"/>
    <w:rsid w:val="00CF7A9F"/>
    <w:rsid w:val="00CF7AFB"/>
    <w:rsid w:val="00D04DA9"/>
    <w:rsid w:val="00D07506"/>
    <w:rsid w:val="00D07DF2"/>
    <w:rsid w:val="00D10D6A"/>
    <w:rsid w:val="00D118D7"/>
    <w:rsid w:val="00D12EC5"/>
    <w:rsid w:val="00D13206"/>
    <w:rsid w:val="00D13B53"/>
    <w:rsid w:val="00D14834"/>
    <w:rsid w:val="00D14943"/>
    <w:rsid w:val="00D150EE"/>
    <w:rsid w:val="00D15638"/>
    <w:rsid w:val="00D15888"/>
    <w:rsid w:val="00D1674C"/>
    <w:rsid w:val="00D16860"/>
    <w:rsid w:val="00D16EA8"/>
    <w:rsid w:val="00D20EC9"/>
    <w:rsid w:val="00D2103A"/>
    <w:rsid w:val="00D2167B"/>
    <w:rsid w:val="00D22302"/>
    <w:rsid w:val="00D23D0E"/>
    <w:rsid w:val="00D27A4E"/>
    <w:rsid w:val="00D27D14"/>
    <w:rsid w:val="00D30D61"/>
    <w:rsid w:val="00D31016"/>
    <w:rsid w:val="00D318AB"/>
    <w:rsid w:val="00D32BDA"/>
    <w:rsid w:val="00D33763"/>
    <w:rsid w:val="00D33EFC"/>
    <w:rsid w:val="00D36409"/>
    <w:rsid w:val="00D369ED"/>
    <w:rsid w:val="00D369FB"/>
    <w:rsid w:val="00D404BC"/>
    <w:rsid w:val="00D4121F"/>
    <w:rsid w:val="00D42EE9"/>
    <w:rsid w:val="00D44B22"/>
    <w:rsid w:val="00D45BD9"/>
    <w:rsid w:val="00D45D03"/>
    <w:rsid w:val="00D45FF0"/>
    <w:rsid w:val="00D46A45"/>
    <w:rsid w:val="00D477C8"/>
    <w:rsid w:val="00D50A62"/>
    <w:rsid w:val="00D527BF"/>
    <w:rsid w:val="00D531B9"/>
    <w:rsid w:val="00D543E1"/>
    <w:rsid w:val="00D5567A"/>
    <w:rsid w:val="00D56022"/>
    <w:rsid w:val="00D56090"/>
    <w:rsid w:val="00D575BD"/>
    <w:rsid w:val="00D601BC"/>
    <w:rsid w:val="00D60313"/>
    <w:rsid w:val="00D60B20"/>
    <w:rsid w:val="00D60DC0"/>
    <w:rsid w:val="00D61220"/>
    <w:rsid w:val="00D6140B"/>
    <w:rsid w:val="00D62B97"/>
    <w:rsid w:val="00D62C46"/>
    <w:rsid w:val="00D641AD"/>
    <w:rsid w:val="00D641FF"/>
    <w:rsid w:val="00D64E89"/>
    <w:rsid w:val="00D65777"/>
    <w:rsid w:val="00D66107"/>
    <w:rsid w:val="00D6642C"/>
    <w:rsid w:val="00D66561"/>
    <w:rsid w:val="00D66E7E"/>
    <w:rsid w:val="00D703DE"/>
    <w:rsid w:val="00D71356"/>
    <w:rsid w:val="00D713AA"/>
    <w:rsid w:val="00D71973"/>
    <w:rsid w:val="00D7210C"/>
    <w:rsid w:val="00D725B1"/>
    <w:rsid w:val="00D72BE1"/>
    <w:rsid w:val="00D73D0A"/>
    <w:rsid w:val="00D766A2"/>
    <w:rsid w:val="00D773F7"/>
    <w:rsid w:val="00D77BBA"/>
    <w:rsid w:val="00D77EE1"/>
    <w:rsid w:val="00D8013D"/>
    <w:rsid w:val="00D80B8D"/>
    <w:rsid w:val="00D81186"/>
    <w:rsid w:val="00D829A3"/>
    <w:rsid w:val="00D833CC"/>
    <w:rsid w:val="00D84320"/>
    <w:rsid w:val="00D85128"/>
    <w:rsid w:val="00D85DC6"/>
    <w:rsid w:val="00D85E08"/>
    <w:rsid w:val="00D85EF6"/>
    <w:rsid w:val="00D863DF"/>
    <w:rsid w:val="00D86430"/>
    <w:rsid w:val="00D86E05"/>
    <w:rsid w:val="00D91BB2"/>
    <w:rsid w:val="00D92854"/>
    <w:rsid w:val="00D929CE"/>
    <w:rsid w:val="00D92F03"/>
    <w:rsid w:val="00D934F5"/>
    <w:rsid w:val="00D93D69"/>
    <w:rsid w:val="00D94928"/>
    <w:rsid w:val="00D95BA1"/>
    <w:rsid w:val="00D95D37"/>
    <w:rsid w:val="00D95D42"/>
    <w:rsid w:val="00D9658D"/>
    <w:rsid w:val="00DA010E"/>
    <w:rsid w:val="00DA0388"/>
    <w:rsid w:val="00DA0771"/>
    <w:rsid w:val="00DA0E36"/>
    <w:rsid w:val="00DA0FD1"/>
    <w:rsid w:val="00DA15A7"/>
    <w:rsid w:val="00DA2118"/>
    <w:rsid w:val="00DA2C16"/>
    <w:rsid w:val="00DA3153"/>
    <w:rsid w:val="00DA3CB5"/>
    <w:rsid w:val="00DA3D3B"/>
    <w:rsid w:val="00DA3EA1"/>
    <w:rsid w:val="00DA40E5"/>
    <w:rsid w:val="00DA54FA"/>
    <w:rsid w:val="00DA5A0A"/>
    <w:rsid w:val="00DB1DFF"/>
    <w:rsid w:val="00DB2A21"/>
    <w:rsid w:val="00DB30BC"/>
    <w:rsid w:val="00DB435A"/>
    <w:rsid w:val="00DB4BB1"/>
    <w:rsid w:val="00DB636F"/>
    <w:rsid w:val="00DB7658"/>
    <w:rsid w:val="00DC0BE0"/>
    <w:rsid w:val="00DC0E41"/>
    <w:rsid w:val="00DC1D71"/>
    <w:rsid w:val="00DC29FE"/>
    <w:rsid w:val="00DC2CB4"/>
    <w:rsid w:val="00DC41ED"/>
    <w:rsid w:val="00DC4748"/>
    <w:rsid w:val="00DC47F8"/>
    <w:rsid w:val="00DC4801"/>
    <w:rsid w:val="00DC483C"/>
    <w:rsid w:val="00DC5FCF"/>
    <w:rsid w:val="00DC64CF"/>
    <w:rsid w:val="00DC7630"/>
    <w:rsid w:val="00DD1DAB"/>
    <w:rsid w:val="00DD22A5"/>
    <w:rsid w:val="00DD2B85"/>
    <w:rsid w:val="00DD3DE2"/>
    <w:rsid w:val="00DD4C12"/>
    <w:rsid w:val="00DD4F1B"/>
    <w:rsid w:val="00DD5797"/>
    <w:rsid w:val="00DD5C37"/>
    <w:rsid w:val="00DD5DB1"/>
    <w:rsid w:val="00DD660E"/>
    <w:rsid w:val="00DD7209"/>
    <w:rsid w:val="00DE1198"/>
    <w:rsid w:val="00DE29B1"/>
    <w:rsid w:val="00DE33BC"/>
    <w:rsid w:val="00DE358B"/>
    <w:rsid w:val="00DE3C48"/>
    <w:rsid w:val="00DE4027"/>
    <w:rsid w:val="00DE4309"/>
    <w:rsid w:val="00DE46FD"/>
    <w:rsid w:val="00DE4F2C"/>
    <w:rsid w:val="00DE7A90"/>
    <w:rsid w:val="00DE7AEA"/>
    <w:rsid w:val="00DF086E"/>
    <w:rsid w:val="00DF09C2"/>
    <w:rsid w:val="00DF0A16"/>
    <w:rsid w:val="00DF0A4F"/>
    <w:rsid w:val="00DF0B5A"/>
    <w:rsid w:val="00DF24B9"/>
    <w:rsid w:val="00DF2F99"/>
    <w:rsid w:val="00DF36F9"/>
    <w:rsid w:val="00DF4477"/>
    <w:rsid w:val="00DF5BAE"/>
    <w:rsid w:val="00DF7579"/>
    <w:rsid w:val="00DF7704"/>
    <w:rsid w:val="00DF7E9F"/>
    <w:rsid w:val="00E00DD8"/>
    <w:rsid w:val="00E00E69"/>
    <w:rsid w:val="00E01A95"/>
    <w:rsid w:val="00E02C5D"/>
    <w:rsid w:val="00E02CBC"/>
    <w:rsid w:val="00E02D24"/>
    <w:rsid w:val="00E0430C"/>
    <w:rsid w:val="00E043A2"/>
    <w:rsid w:val="00E04E2E"/>
    <w:rsid w:val="00E04F3D"/>
    <w:rsid w:val="00E05254"/>
    <w:rsid w:val="00E05867"/>
    <w:rsid w:val="00E05D0C"/>
    <w:rsid w:val="00E06490"/>
    <w:rsid w:val="00E0674A"/>
    <w:rsid w:val="00E07187"/>
    <w:rsid w:val="00E07FB0"/>
    <w:rsid w:val="00E1049C"/>
    <w:rsid w:val="00E10AD5"/>
    <w:rsid w:val="00E111B6"/>
    <w:rsid w:val="00E112F5"/>
    <w:rsid w:val="00E1287A"/>
    <w:rsid w:val="00E12AD5"/>
    <w:rsid w:val="00E1510B"/>
    <w:rsid w:val="00E1520D"/>
    <w:rsid w:val="00E16418"/>
    <w:rsid w:val="00E16C87"/>
    <w:rsid w:val="00E17111"/>
    <w:rsid w:val="00E17B29"/>
    <w:rsid w:val="00E206F9"/>
    <w:rsid w:val="00E2078B"/>
    <w:rsid w:val="00E20A17"/>
    <w:rsid w:val="00E20BB3"/>
    <w:rsid w:val="00E20CEA"/>
    <w:rsid w:val="00E21D05"/>
    <w:rsid w:val="00E21FCD"/>
    <w:rsid w:val="00E22C81"/>
    <w:rsid w:val="00E2314B"/>
    <w:rsid w:val="00E2320E"/>
    <w:rsid w:val="00E23470"/>
    <w:rsid w:val="00E24526"/>
    <w:rsid w:val="00E2507D"/>
    <w:rsid w:val="00E25773"/>
    <w:rsid w:val="00E25CB7"/>
    <w:rsid w:val="00E25D1B"/>
    <w:rsid w:val="00E269B7"/>
    <w:rsid w:val="00E300B9"/>
    <w:rsid w:val="00E33150"/>
    <w:rsid w:val="00E3379D"/>
    <w:rsid w:val="00E33BDC"/>
    <w:rsid w:val="00E353BC"/>
    <w:rsid w:val="00E36A1A"/>
    <w:rsid w:val="00E372AE"/>
    <w:rsid w:val="00E4094C"/>
    <w:rsid w:val="00E40D55"/>
    <w:rsid w:val="00E40EE4"/>
    <w:rsid w:val="00E40F5A"/>
    <w:rsid w:val="00E42637"/>
    <w:rsid w:val="00E43544"/>
    <w:rsid w:val="00E438F1"/>
    <w:rsid w:val="00E45034"/>
    <w:rsid w:val="00E4680D"/>
    <w:rsid w:val="00E46E86"/>
    <w:rsid w:val="00E47689"/>
    <w:rsid w:val="00E50E64"/>
    <w:rsid w:val="00E52741"/>
    <w:rsid w:val="00E53AC3"/>
    <w:rsid w:val="00E546B2"/>
    <w:rsid w:val="00E54D89"/>
    <w:rsid w:val="00E54F09"/>
    <w:rsid w:val="00E55687"/>
    <w:rsid w:val="00E567D0"/>
    <w:rsid w:val="00E5750C"/>
    <w:rsid w:val="00E613D2"/>
    <w:rsid w:val="00E61872"/>
    <w:rsid w:val="00E619FB"/>
    <w:rsid w:val="00E622BD"/>
    <w:rsid w:val="00E6248C"/>
    <w:rsid w:val="00E62953"/>
    <w:rsid w:val="00E629CF"/>
    <w:rsid w:val="00E62C7F"/>
    <w:rsid w:val="00E62E08"/>
    <w:rsid w:val="00E637CB"/>
    <w:rsid w:val="00E654E5"/>
    <w:rsid w:val="00E657D0"/>
    <w:rsid w:val="00E701E8"/>
    <w:rsid w:val="00E70619"/>
    <w:rsid w:val="00E718C4"/>
    <w:rsid w:val="00E720EE"/>
    <w:rsid w:val="00E727AB"/>
    <w:rsid w:val="00E7281B"/>
    <w:rsid w:val="00E72D09"/>
    <w:rsid w:val="00E73466"/>
    <w:rsid w:val="00E738BD"/>
    <w:rsid w:val="00E73BA6"/>
    <w:rsid w:val="00E73CC2"/>
    <w:rsid w:val="00E75176"/>
    <w:rsid w:val="00E754C1"/>
    <w:rsid w:val="00E75CC3"/>
    <w:rsid w:val="00E76026"/>
    <w:rsid w:val="00E76FA3"/>
    <w:rsid w:val="00E80B37"/>
    <w:rsid w:val="00E81532"/>
    <w:rsid w:val="00E81D6B"/>
    <w:rsid w:val="00E83119"/>
    <w:rsid w:val="00E83419"/>
    <w:rsid w:val="00E8377A"/>
    <w:rsid w:val="00E84A64"/>
    <w:rsid w:val="00E85147"/>
    <w:rsid w:val="00E86611"/>
    <w:rsid w:val="00E871F4"/>
    <w:rsid w:val="00E879B2"/>
    <w:rsid w:val="00E90AFF"/>
    <w:rsid w:val="00E9292C"/>
    <w:rsid w:val="00E92A30"/>
    <w:rsid w:val="00E9320F"/>
    <w:rsid w:val="00E93C3D"/>
    <w:rsid w:val="00E95C18"/>
    <w:rsid w:val="00E95DA0"/>
    <w:rsid w:val="00E97255"/>
    <w:rsid w:val="00E97A07"/>
    <w:rsid w:val="00E97B57"/>
    <w:rsid w:val="00EA0981"/>
    <w:rsid w:val="00EA1210"/>
    <w:rsid w:val="00EA1342"/>
    <w:rsid w:val="00EA19BA"/>
    <w:rsid w:val="00EA19E9"/>
    <w:rsid w:val="00EA1A4F"/>
    <w:rsid w:val="00EA1B96"/>
    <w:rsid w:val="00EA242E"/>
    <w:rsid w:val="00EA350B"/>
    <w:rsid w:val="00EA37E9"/>
    <w:rsid w:val="00EA3F3B"/>
    <w:rsid w:val="00EA40EE"/>
    <w:rsid w:val="00EA5740"/>
    <w:rsid w:val="00EA6A36"/>
    <w:rsid w:val="00EA6D9B"/>
    <w:rsid w:val="00EA7080"/>
    <w:rsid w:val="00EA7AA7"/>
    <w:rsid w:val="00EB0733"/>
    <w:rsid w:val="00EB0C33"/>
    <w:rsid w:val="00EB0FEE"/>
    <w:rsid w:val="00EB1E6E"/>
    <w:rsid w:val="00EB28DF"/>
    <w:rsid w:val="00EB2F3A"/>
    <w:rsid w:val="00EB3876"/>
    <w:rsid w:val="00EB45C4"/>
    <w:rsid w:val="00EB4C04"/>
    <w:rsid w:val="00EB4D6D"/>
    <w:rsid w:val="00EB50BD"/>
    <w:rsid w:val="00EB521B"/>
    <w:rsid w:val="00EB560D"/>
    <w:rsid w:val="00EB5ED9"/>
    <w:rsid w:val="00EB6655"/>
    <w:rsid w:val="00EB694C"/>
    <w:rsid w:val="00EB6A23"/>
    <w:rsid w:val="00EB7280"/>
    <w:rsid w:val="00EB7886"/>
    <w:rsid w:val="00EC0140"/>
    <w:rsid w:val="00EC0E13"/>
    <w:rsid w:val="00EC2C51"/>
    <w:rsid w:val="00EC30A0"/>
    <w:rsid w:val="00EC3899"/>
    <w:rsid w:val="00EC4400"/>
    <w:rsid w:val="00EC477C"/>
    <w:rsid w:val="00EC51D3"/>
    <w:rsid w:val="00EC66E7"/>
    <w:rsid w:val="00EC6AEE"/>
    <w:rsid w:val="00ED384A"/>
    <w:rsid w:val="00ED4039"/>
    <w:rsid w:val="00ED47E7"/>
    <w:rsid w:val="00ED7853"/>
    <w:rsid w:val="00EE0FC0"/>
    <w:rsid w:val="00EE1A4A"/>
    <w:rsid w:val="00EE1B56"/>
    <w:rsid w:val="00EE2069"/>
    <w:rsid w:val="00EE2C93"/>
    <w:rsid w:val="00EE3D50"/>
    <w:rsid w:val="00EE3D8D"/>
    <w:rsid w:val="00EE41C1"/>
    <w:rsid w:val="00EE4613"/>
    <w:rsid w:val="00EE5748"/>
    <w:rsid w:val="00EE5843"/>
    <w:rsid w:val="00EE5E59"/>
    <w:rsid w:val="00EE5F73"/>
    <w:rsid w:val="00EE6016"/>
    <w:rsid w:val="00EE709B"/>
    <w:rsid w:val="00EF05F1"/>
    <w:rsid w:val="00EF5168"/>
    <w:rsid w:val="00EF5DBF"/>
    <w:rsid w:val="00EF62DD"/>
    <w:rsid w:val="00EF6FC3"/>
    <w:rsid w:val="00EF79DC"/>
    <w:rsid w:val="00F000BB"/>
    <w:rsid w:val="00F01F67"/>
    <w:rsid w:val="00F02350"/>
    <w:rsid w:val="00F02782"/>
    <w:rsid w:val="00F02F4D"/>
    <w:rsid w:val="00F042AA"/>
    <w:rsid w:val="00F04CEA"/>
    <w:rsid w:val="00F0610F"/>
    <w:rsid w:val="00F066F6"/>
    <w:rsid w:val="00F06A20"/>
    <w:rsid w:val="00F0702E"/>
    <w:rsid w:val="00F074EC"/>
    <w:rsid w:val="00F0797A"/>
    <w:rsid w:val="00F11DDC"/>
    <w:rsid w:val="00F14E30"/>
    <w:rsid w:val="00F15709"/>
    <w:rsid w:val="00F16666"/>
    <w:rsid w:val="00F168BC"/>
    <w:rsid w:val="00F17473"/>
    <w:rsid w:val="00F17CF7"/>
    <w:rsid w:val="00F17EDA"/>
    <w:rsid w:val="00F20562"/>
    <w:rsid w:val="00F2080A"/>
    <w:rsid w:val="00F20A88"/>
    <w:rsid w:val="00F21CB1"/>
    <w:rsid w:val="00F22A5E"/>
    <w:rsid w:val="00F22BC2"/>
    <w:rsid w:val="00F23125"/>
    <w:rsid w:val="00F2409A"/>
    <w:rsid w:val="00F25900"/>
    <w:rsid w:val="00F25DCA"/>
    <w:rsid w:val="00F27168"/>
    <w:rsid w:val="00F273A1"/>
    <w:rsid w:val="00F301C4"/>
    <w:rsid w:val="00F31C4C"/>
    <w:rsid w:val="00F344AA"/>
    <w:rsid w:val="00F35188"/>
    <w:rsid w:val="00F35D79"/>
    <w:rsid w:val="00F3719C"/>
    <w:rsid w:val="00F37B68"/>
    <w:rsid w:val="00F40712"/>
    <w:rsid w:val="00F42172"/>
    <w:rsid w:val="00F43286"/>
    <w:rsid w:val="00F448AA"/>
    <w:rsid w:val="00F457B0"/>
    <w:rsid w:val="00F457E3"/>
    <w:rsid w:val="00F45A7F"/>
    <w:rsid w:val="00F45D7E"/>
    <w:rsid w:val="00F46D49"/>
    <w:rsid w:val="00F47F9D"/>
    <w:rsid w:val="00F50D33"/>
    <w:rsid w:val="00F50D5B"/>
    <w:rsid w:val="00F51194"/>
    <w:rsid w:val="00F51E0A"/>
    <w:rsid w:val="00F51F06"/>
    <w:rsid w:val="00F5236B"/>
    <w:rsid w:val="00F52651"/>
    <w:rsid w:val="00F529C8"/>
    <w:rsid w:val="00F531DC"/>
    <w:rsid w:val="00F53CA6"/>
    <w:rsid w:val="00F54C93"/>
    <w:rsid w:val="00F557F6"/>
    <w:rsid w:val="00F55FA1"/>
    <w:rsid w:val="00F5741C"/>
    <w:rsid w:val="00F601C3"/>
    <w:rsid w:val="00F60573"/>
    <w:rsid w:val="00F605B3"/>
    <w:rsid w:val="00F60D57"/>
    <w:rsid w:val="00F61971"/>
    <w:rsid w:val="00F620C1"/>
    <w:rsid w:val="00F62A69"/>
    <w:rsid w:val="00F63775"/>
    <w:rsid w:val="00F63EE9"/>
    <w:rsid w:val="00F6443E"/>
    <w:rsid w:val="00F649BF"/>
    <w:rsid w:val="00F64B2A"/>
    <w:rsid w:val="00F65CB4"/>
    <w:rsid w:val="00F66616"/>
    <w:rsid w:val="00F70CC1"/>
    <w:rsid w:val="00F7140D"/>
    <w:rsid w:val="00F718DB"/>
    <w:rsid w:val="00F71BCC"/>
    <w:rsid w:val="00F723D5"/>
    <w:rsid w:val="00F7275E"/>
    <w:rsid w:val="00F730A8"/>
    <w:rsid w:val="00F741DE"/>
    <w:rsid w:val="00F745CC"/>
    <w:rsid w:val="00F771D2"/>
    <w:rsid w:val="00F77C48"/>
    <w:rsid w:val="00F80246"/>
    <w:rsid w:val="00F80E30"/>
    <w:rsid w:val="00F80F83"/>
    <w:rsid w:val="00F81B48"/>
    <w:rsid w:val="00F81BEF"/>
    <w:rsid w:val="00F81CD5"/>
    <w:rsid w:val="00F823C4"/>
    <w:rsid w:val="00F828D3"/>
    <w:rsid w:val="00F83118"/>
    <w:rsid w:val="00F837A1"/>
    <w:rsid w:val="00F84459"/>
    <w:rsid w:val="00F84C39"/>
    <w:rsid w:val="00F84CE9"/>
    <w:rsid w:val="00F85465"/>
    <w:rsid w:val="00F85DFF"/>
    <w:rsid w:val="00F86270"/>
    <w:rsid w:val="00F869D3"/>
    <w:rsid w:val="00F86A04"/>
    <w:rsid w:val="00F87311"/>
    <w:rsid w:val="00F87F56"/>
    <w:rsid w:val="00F87FF4"/>
    <w:rsid w:val="00F9014A"/>
    <w:rsid w:val="00F90FA3"/>
    <w:rsid w:val="00F91C6A"/>
    <w:rsid w:val="00F92B7F"/>
    <w:rsid w:val="00F9415A"/>
    <w:rsid w:val="00F94452"/>
    <w:rsid w:val="00F9529C"/>
    <w:rsid w:val="00F95BBF"/>
    <w:rsid w:val="00F96B97"/>
    <w:rsid w:val="00F972A0"/>
    <w:rsid w:val="00FA1486"/>
    <w:rsid w:val="00FA14E3"/>
    <w:rsid w:val="00FA1E47"/>
    <w:rsid w:val="00FA25A6"/>
    <w:rsid w:val="00FA278E"/>
    <w:rsid w:val="00FA2DDD"/>
    <w:rsid w:val="00FA30E4"/>
    <w:rsid w:val="00FA3BBC"/>
    <w:rsid w:val="00FA40C9"/>
    <w:rsid w:val="00FA453E"/>
    <w:rsid w:val="00FA5999"/>
    <w:rsid w:val="00FA5D18"/>
    <w:rsid w:val="00FA641B"/>
    <w:rsid w:val="00FA6EFB"/>
    <w:rsid w:val="00FA75E4"/>
    <w:rsid w:val="00FA7C21"/>
    <w:rsid w:val="00FB0257"/>
    <w:rsid w:val="00FB0CA6"/>
    <w:rsid w:val="00FB183A"/>
    <w:rsid w:val="00FB2003"/>
    <w:rsid w:val="00FB3309"/>
    <w:rsid w:val="00FB48FD"/>
    <w:rsid w:val="00FB4C0A"/>
    <w:rsid w:val="00FB5589"/>
    <w:rsid w:val="00FB62AF"/>
    <w:rsid w:val="00FB6BC8"/>
    <w:rsid w:val="00FB7267"/>
    <w:rsid w:val="00FC01D2"/>
    <w:rsid w:val="00FC1450"/>
    <w:rsid w:val="00FC23B4"/>
    <w:rsid w:val="00FC291C"/>
    <w:rsid w:val="00FC340E"/>
    <w:rsid w:val="00FC398F"/>
    <w:rsid w:val="00FC39D8"/>
    <w:rsid w:val="00FC3DA6"/>
    <w:rsid w:val="00FC3DB4"/>
    <w:rsid w:val="00FC486D"/>
    <w:rsid w:val="00FC4F8B"/>
    <w:rsid w:val="00FC510C"/>
    <w:rsid w:val="00FC5685"/>
    <w:rsid w:val="00FC5E1D"/>
    <w:rsid w:val="00FC6081"/>
    <w:rsid w:val="00FC63B5"/>
    <w:rsid w:val="00FC7662"/>
    <w:rsid w:val="00FC7F4C"/>
    <w:rsid w:val="00FD0054"/>
    <w:rsid w:val="00FD0834"/>
    <w:rsid w:val="00FD4140"/>
    <w:rsid w:val="00FD4582"/>
    <w:rsid w:val="00FD64FE"/>
    <w:rsid w:val="00FD6F6E"/>
    <w:rsid w:val="00FD7633"/>
    <w:rsid w:val="00FD7D84"/>
    <w:rsid w:val="00FD7DD1"/>
    <w:rsid w:val="00FE0AA8"/>
    <w:rsid w:val="00FE0C0B"/>
    <w:rsid w:val="00FE1183"/>
    <w:rsid w:val="00FE1B56"/>
    <w:rsid w:val="00FE2367"/>
    <w:rsid w:val="00FE2D8B"/>
    <w:rsid w:val="00FE386E"/>
    <w:rsid w:val="00FE4BF7"/>
    <w:rsid w:val="00FE4F97"/>
    <w:rsid w:val="00FE4FF8"/>
    <w:rsid w:val="00FE66CA"/>
    <w:rsid w:val="00FE79B5"/>
    <w:rsid w:val="00FF028E"/>
    <w:rsid w:val="00FF1A89"/>
    <w:rsid w:val="00FF47CE"/>
    <w:rsid w:val="00FF6C34"/>
    <w:rsid w:val="00FF6F3B"/>
    <w:rsid w:val="00FF75B6"/>
    <w:rsid w:val="00FF776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00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
    <w:qFormat/>
    <w:rsid w:val="0002278D"/>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A8653F"/>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693312"/>
    <w:pPr>
      <w:spacing w:after="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tabs>
        <w:tab w:val="num" w:pos="284"/>
      </w:tabs>
      <w:spacing w:before="120" w:after="960"/>
      <w:ind w:left="0" w:firstLine="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9968C2"/>
    <w:pPr>
      <w:tabs>
        <w:tab w:val="left" w:pos="426"/>
      </w:tabs>
      <w:suppressAutoHyphens/>
      <w:spacing w:before="120" w:after="120" w:line="276" w:lineRule="auto"/>
      <w:textboxTightWrap w:val="firstLineOnly"/>
    </w:pPr>
    <w:rPr>
      <w:rFonts w:eastAsiaTheme="minorHAnsi" w:cs="Arial"/>
      <w:szCs w:val="20"/>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customStyle="1" w:styleId="Heading5Char">
    <w:name w:val="Heading 5 Char"/>
    <w:basedOn w:val="DefaultParagraphFont"/>
    <w:link w:val="Heading5"/>
    <w:uiPriority w:val="9"/>
    <w:semiHidden/>
    <w:rsid w:val="00A8653F"/>
    <w:rPr>
      <w:rFonts w:asciiTheme="majorHAnsi" w:eastAsiaTheme="majorEastAsia" w:hAnsiTheme="majorHAnsi" w:cstheme="majorBidi"/>
      <w:color w:val="5E563A"/>
    </w:rPr>
  </w:style>
  <w:style w:type="paragraph" w:customStyle="1" w:styleId="NoParagraphStyle">
    <w:name w:val="[No Paragraph Style]"/>
    <w:rsid w:val="00A8653F"/>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DotPoints">
    <w:name w:val="Dot Points"/>
    <w:basedOn w:val="BodyText"/>
    <w:uiPriority w:val="99"/>
    <w:rsid w:val="00A8653F"/>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paragraph" w:customStyle="1" w:styleId="BodyTextindented">
    <w:name w:val="Body Text indented"/>
    <w:basedOn w:val="BodyText"/>
    <w:uiPriority w:val="99"/>
    <w:rsid w:val="00FC23B4"/>
    <w:pPr>
      <w:suppressAutoHyphens/>
      <w:autoSpaceDE w:val="0"/>
      <w:autoSpaceDN w:val="0"/>
      <w:adjustRightInd w:val="0"/>
      <w:spacing w:before="0" w:after="113" w:line="288" w:lineRule="auto"/>
      <w:ind w:left="851"/>
      <w:textAlignment w:val="center"/>
    </w:pPr>
    <w:rPr>
      <w:rFonts w:eastAsiaTheme="minorHAnsi" w:cs="Arial"/>
      <w:color w:val="000000"/>
      <w:szCs w:val="22"/>
      <w:lang w:val="en-US" w:eastAsia="en-US"/>
    </w:rPr>
  </w:style>
  <w:style w:type="character" w:customStyle="1" w:styleId="Italics">
    <w:name w:val="Italics"/>
    <w:uiPriority w:val="99"/>
    <w:rsid w:val="00A8653F"/>
    <w:rPr>
      <w:i/>
      <w:iCs/>
    </w:rPr>
  </w:style>
  <w:style w:type="paragraph" w:customStyle="1" w:styleId="Heading1TOCheadings">
    <w:name w:val="Heading 1 TOC headings"/>
    <w:basedOn w:val="Heading1"/>
    <w:uiPriority w:val="99"/>
    <w:rsid w:val="00A8653F"/>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A8653F"/>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A8653F"/>
  </w:style>
  <w:style w:type="paragraph" w:customStyle="1" w:styleId="Tablenumber">
    <w:name w:val="Table number"/>
    <w:basedOn w:val="BodyText"/>
    <w:autoRedefine/>
    <w:uiPriority w:val="99"/>
    <w:rsid w:val="00A8653F"/>
    <w:pPr>
      <w:suppressAutoHyphens/>
      <w:autoSpaceDE w:val="0"/>
      <w:autoSpaceDN w:val="0"/>
      <w:adjustRightInd w:val="0"/>
      <w:spacing w:before="80" w:after="80" w:line="160" w:lineRule="atLeast"/>
      <w:jc w:val="left"/>
      <w:textAlignment w:val="center"/>
    </w:pPr>
    <w:rPr>
      <w:rFonts w:eastAsiaTheme="minorHAnsi" w:cs="Arial"/>
      <w:color w:val="000000"/>
      <w:sz w:val="16"/>
      <w:szCs w:val="16"/>
      <w:lang w:val="en-GB" w:eastAsia="en-US"/>
    </w:rPr>
  </w:style>
  <w:style w:type="paragraph" w:customStyle="1" w:styleId="Tablecolumnheadings">
    <w:name w:val="Table column headings"/>
    <w:basedOn w:val="Tablenumber"/>
    <w:autoRedefine/>
    <w:uiPriority w:val="99"/>
    <w:rsid w:val="00A8653F"/>
    <w:pPr>
      <w:jc w:val="center"/>
    </w:pPr>
    <w:rPr>
      <w:b/>
      <w:bCs/>
      <w:sz w:val="18"/>
      <w:szCs w:val="18"/>
    </w:rPr>
  </w:style>
  <w:style w:type="paragraph" w:customStyle="1" w:styleId="Tablestubheadings">
    <w:name w:val="Table stub headings"/>
    <w:basedOn w:val="Tablecolumnheadings"/>
    <w:uiPriority w:val="99"/>
    <w:rsid w:val="00A8653F"/>
    <w:pPr>
      <w:jc w:val="left"/>
    </w:pPr>
  </w:style>
  <w:style w:type="paragraph" w:customStyle="1" w:styleId="Tablesubheadingsbold">
    <w:name w:val="Table sub headings bold"/>
    <w:basedOn w:val="Tablestubheadings"/>
    <w:autoRedefine/>
    <w:uiPriority w:val="99"/>
    <w:rsid w:val="00A8653F"/>
  </w:style>
  <w:style w:type="paragraph" w:customStyle="1" w:styleId="Tablenumberbold">
    <w:name w:val="Table number bold"/>
    <w:basedOn w:val="Tablenumber"/>
    <w:uiPriority w:val="99"/>
    <w:rsid w:val="00A8653F"/>
    <w:rPr>
      <w:b/>
      <w:bCs/>
    </w:rPr>
  </w:style>
  <w:style w:type="character" w:customStyle="1" w:styleId="Classificationitalics">
    <w:name w:val="Classification italics"/>
    <w:uiPriority w:val="99"/>
    <w:rsid w:val="00A8653F"/>
    <w:rPr>
      <w:rFonts w:ascii="Arial" w:hAnsi="Arial" w:cs="Arial"/>
      <w:i/>
      <w:iCs/>
      <w:sz w:val="22"/>
      <w:szCs w:val="22"/>
    </w:rPr>
  </w:style>
  <w:style w:type="paragraph" w:customStyle="1" w:styleId="Tablewafer">
    <w:name w:val="Table wafer"/>
    <w:basedOn w:val="Tablestubheadings"/>
    <w:autoRedefine/>
    <w:uiPriority w:val="99"/>
    <w:rsid w:val="00A8653F"/>
    <w:pPr>
      <w:jc w:val="center"/>
    </w:pPr>
  </w:style>
  <w:style w:type="paragraph" w:styleId="NormalWeb">
    <w:name w:val="Normal (Web)"/>
    <w:basedOn w:val="Normal"/>
    <w:uiPriority w:val="99"/>
    <w:semiHidden/>
    <w:unhideWhenUsed/>
    <w:rsid w:val="00A8653F"/>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A8653F"/>
    <w:rPr>
      <w:rFonts w:ascii="Arial" w:hAnsi="Arial" w:cs="Arial"/>
      <w:color w:val="009EA0"/>
      <w:sz w:val="22"/>
      <w:szCs w:val="22"/>
    </w:rPr>
  </w:style>
  <w:style w:type="character" w:styleId="CommentReference">
    <w:name w:val="annotation reference"/>
    <w:basedOn w:val="DefaultParagraphFont"/>
    <w:uiPriority w:val="99"/>
    <w:semiHidden/>
    <w:unhideWhenUsed/>
    <w:rsid w:val="00A8653F"/>
    <w:rPr>
      <w:sz w:val="16"/>
      <w:szCs w:val="16"/>
    </w:rPr>
  </w:style>
  <w:style w:type="paragraph" w:styleId="CommentText">
    <w:name w:val="annotation text"/>
    <w:basedOn w:val="Normal"/>
    <w:link w:val="CommentTextChar"/>
    <w:uiPriority w:val="99"/>
    <w:unhideWhenUsed/>
    <w:rsid w:val="00A8653F"/>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rsid w:val="00A865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653F"/>
    <w:rPr>
      <w:b/>
      <w:bCs/>
    </w:rPr>
  </w:style>
  <w:style w:type="character" w:customStyle="1" w:styleId="CommentSubjectChar">
    <w:name w:val="Comment Subject Char"/>
    <w:basedOn w:val="CommentTextChar"/>
    <w:link w:val="CommentSubject"/>
    <w:uiPriority w:val="99"/>
    <w:semiHidden/>
    <w:rsid w:val="00A8653F"/>
    <w:rPr>
      <w:rFonts w:ascii="Arial" w:hAnsi="Arial" w:cs="Arial"/>
      <w:b/>
      <w:bCs/>
      <w:sz w:val="20"/>
      <w:szCs w:val="20"/>
    </w:rPr>
  </w:style>
  <w:style w:type="paragraph" w:customStyle="1" w:styleId="Appendixtablehead">
    <w:name w:val="Appendix table head"/>
    <w:basedOn w:val="Normal"/>
    <w:qFormat/>
    <w:rsid w:val="00A8653F"/>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A8653F"/>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A8653F"/>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A8653F"/>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A8653F"/>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A8653F"/>
    <w:rPr>
      <w:b w:val="0"/>
    </w:rPr>
  </w:style>
  <w:style w:type="paragraph" w:customStyle="1" w:styleId="Footnotecompressed">
    <w:name w:val="Footnote compressed"/>
    <w:basedOn w:val="Footnote"/>
    <w:qFormat/>
    <w:rsid w:val="00A8653F"/>
    <w:pPr>
      <w:numPr>
        <w:numId w:val="7"/>
      </w:numPr>
      <w:spacing w:before="0" w:line="240" w:lineRule="auto"/>
      <w:ind w:left="284" w:hanging="284"/>
    </w:pPr>
  </w:style>
  <w:style w:type="character" w:customStyle="1" w:styleId="tgc">
    <w:name w:val="_tgc"/>
    <w:basedOn w:val="DefaultParagraphFont"/>
    <w:rsid w:val="00A8653F"/>
  </w:style>
  <w:style w:type="paragraph" w:customStyle="1" w:styleId="swa">
    <w:name w:val="swa"/>
    <w:basedOn w:val="Heading3"/>
    <w:qFormat/>
    <w:rsid w:val="00A8653F"/>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A8653F"/>
    <w:pPr>
      <w:spacing w:before="0"/>
      <w:jc w:val="left"/>
    </w:pPr>
    <w:rPr>
      <w:rFonts w:eastAsiaTheme="minorHAnsi" w:cs="Arial"/>
      <w:i/>
      <w:color w:val="145B85"/>
      <w:szCs w:val="22"/>
      <w:lang w:eastAsia="en-US"/>
    </w:rPr>
  </w:style>
  <w:style w:type="paragraph" w:customStyle="1" w:styleId="Body">
    <w:name w:val="Body"/>
    <w:basedOn w:val="Normal"/>
    <w:link w:val="BodyChar"/>
    <w:qFormat/>
    <w:rsid w:val="00A8653F"/>
    <w:pPr>
      <w:spacing w:before="120" w:after="120" w:line="300" w:lineRule="auto"/>
      <w:jc w:val="left"/>
    </w:pPr>
    <w:rPr>
      <w:szCs w:val="20"/>
      <w:lang w:eastAsia="en-US"/>
    </w:rPr>
  </w:style>
  <w:style w:type="character" w:customStyle="1" w:styleId="BodyChar">
    <w:name w:val="Body Char"/>
    <w:link w:val="Body"/>
    <w:rsid w:val="00A8653F"/>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A8653F"/>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A8653F"/>
    <w:rPr>
      <w:rFonts w:ascii="Arial" w:hAnsi="Arial" w:cs="Arial"/>
      <w:color w:val="145B85"/>
      <w:sz w:val="50"/>
      <w:szCs w:val="50"/>
      <w:lang w:val="en-GB"/>
    </w:rPr>
  </w:style>
  <w:style w:type="paragraph" w:customStyle="1" w:styleId="Default">
    <w:name w:val="Default"/>
    <w:rsid w:val="00A8653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8653F"/>
    <w:pPr>
      <w:spacing w:after="0" w:line="240" w:lineRule="auto"/>
    </w:pPr>
    <w:rPr>
      <w:rFonts w:ascii="Arial" w:hAnsi="Arial" w:cs="Arial"/>
    </w:rPr>
  </w:style>
  <w:style w:type="table" w:styleId="LightShading">
    <w:name w:val="Light Shading"/>
    <w:basedOn w:val="TableNormal"/>
    <w:uiPriority w:val="60"/>
    <w:rsid w:val="006933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9331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ForTable">
    <w:name w:val="For Table"/>
    <w:basedOn w:val="Normal"/>
    <w:qFormat/>
    <w:rsid w:val="00693312"/>
    <w:pPr>
      <w:spacing w:before="0"/>
      <w:jc w:val="left"/>
    </w:pPr>
    <w:rPr>
      <w:bCs/>
      <w:sz w:val="16"/>
      <w:szCs w:val="16"/>
    </w:rPr>
  </w:style>
  <w:style w:type="paragraph" w:styleId="FootnoteText">
    <w:name w:val="footnote text"/>
    <w:basedOn w:val="Normal"/>
    <w:link w:val="FootnoteTextChar"/>
    <w:uiPriority w:val="99"/>
    <w:semiHidden/>
    <w:unhideWhenUsed/>
    <w:rsid w:val="005C2223"/>
    <w:pPr>
      <w:spacing w:before="0"/>
    </w:pPr>
    <w:rPr>
      <w:szCs w:val="20"/>
    </w:rPr>
  </w:style>
  <w:style w:type="character" w:customStyle="1" w:styleId="FootnoteTextChar">
    <w:name w:val="Footnote Text Char"/>
    <w:basedOn w:val="DefaultParagraphFont"/>
    <w:link w:val="FootnoteText"/>
    <w:uiPriority w:val="99"/>
    <w:semiHidden/>
    <w:rsid w:val="005C222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5C2223"/>
    <w:rPr>
      <w:vertAlign w:val="superscript"/>
    </w:rPr>
  </w:style>
  <w:style w:type="paragraph" w:customStyle="1" w:styleId="Bullets1">
    <w:name w:val="Bullets 1"/>
    <w:basedOn w:val="Normal"/>
    <w:qFormat/>
    <w:rsid w:val="007E7EB0"/>
    <w:pPr>
      <w:numPr>
        <w:numId w:val="8"/>
      </w:numPr>
      <w:spacing w:before="120" w:after="120" w:line="300" w:lineRule="auto"/>
      <w:jc w:val="left"/>
    </w:pPr>
    <w:rPr>
      <w:szCs w:val="20"/>
      <w:lang w:eastAsia="en-US"/>
    </w:rPr>
  </w:style>
  <w:style w:type="paragraph" w:customStyle="1" w:styleId="Bullets3">
    <w:name w:val="Bullets 3"/>
    <w:basedOn w:val="Normal"/>
    <w:qFormat/>
    <w:rsid w:val="007E7EB0"/>
    <w:pPr>
      <w:numPr>
        <w:ilvl w:val="2"/>
        <w:numId w:val="8"/>
      </w:numPr>
      <w:spacing w:before="120" w:after="120" w:line="300" w:lineRule="auto"/>
    </w:pPr>
    <w:rPr>
      <w:szCs w:val="20"/>
      <w:lang w:eastAsia="en-US"/>
    </w:rPr>
  </w:style>
  <w:style w:type="table" w:customStyle="1" w:styleId="GridTable7Colorful-Accent21">
    <w:name w:val="Grid Table 7 Colorful - Accent 21"/>
    <w:basedOn w:val="TableNormal"/>
    <w:uiPriority w:val="52"/>
    <w:rsid w:val="007E7EB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EndnoteText">
    <w:name w:val="endnote text"/>
    <w:basedOn w:val="Normal"/>
    <w:link w:val="EndnoteTextChar"/>
    <w:uiPriority w:val="99"/>
    <w:semiHidden/>
    <w:unhideWhenUsed/>
    <w:rsid w:val="00615DD6"/>
    <w:pPr>
      <w:spacing w:before="0"/>
    </w:pPr>
    <w:rPr>
      <w:szCs w:val="20"/>
    </w:rPr>
  </w:style>
  <w:style w:type="character" w:customStyle="1" w:styleId="EndnoteTextChar">
    <w:name w:val="Endnote Text Char"/>
    <w:basedOn w:val="DefaultParagraphFont"/>
    <w:link w:val="EndnoteText"/>
    <w:uiPriority w:val="99"/>
    <w:semiHidden/>
    <w:rsid w:val="00615DD6"/>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615DD6"/>
    <w:rPr>
      <w:vertAlign w:val="superscript"/>
    </w:rPr>
  </w:style>
  <w:style w:type="paragraph" w:customStyle="1" w:styleId="Disclaimer">
    <w:name w:val="Disclaimer"/>
    <w:basedOn w:val="Normal"/>
    <w:uiPriority w:val="2"/>
    <w:rsid w:val="00FE4F97"/>
    <w:pPr>
      <w:spacing w:before="0" w:after="60"/>
      <w:jc w:val="left"/>
    </w:pPr>
    <w:rPr>
      <w:rFonts w:eastAsiaTheme="minorHAnsi" w:cs="Arial"/>
      <w:sz w:val="16"/>
      <w:szCs w:val="16"/>
      <w:lang w:eastAsia="en-US"/>
    </w:rPr>
  </w:style>
  <w:style w:type="character" w:styleId="UnresolvedMention">
    <w:name w:val="Unresolved Mention"/>
    <w:basedOn w:val="DefaultParagraphFont"/>
    <w:uiPriority w:val="99"/>
    <w:semiHidden/>
    <w:unhideWhenUsed/>
    <w:rsid w:val="00917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146">
      <w:bodyDiv w:val="1"/>
      <w:marLeft w:val="0"/>
      <w:marRight w:val="0"/>
      <w:marTop w:val="0"/>
      <w:marBottom w:val="0"/>
      <w:divBdr>
        <w:top w:val="none" w:sz="0" w:space="0" w:color="auto"/>
        <w:left w:val="none" w:sz="0" w:space="0" w:color="auto"/>
        <w:bottom w:val="none" w:sz="0" w:space="0" w:color="auto"/>
        <w:right w:val="none" w:sz="0" w:space="0" w:color="auto"/>
      </w:divBdr>
    </w:div>
    <w:div w:id="11956013">
      <w:bodyDiv w:val="1"/>
      <w:marLeft w:val="0"/>
      <w:marRight w:val="0"/>
      <w:marTop w:val="0"/>
      <w:marBottom w:val="0"/>
      <w:divBdr>
        <w:top w:val="none" w:sz="0" w:space="0" w:color="auto"/>
        <w:left w:val="none" w:sz="0" w:space="0" w:color="auto"/>
        <w:bottom w:val="none" w:sz="0" w:space="0" w:color="auto"/>
        <w:right w:val="none" w:sz="0" w:space="0" w:color="auto"/>
      </w:divBdr>
    </w:div>
    <w:div w:id="72237884">
      <w:bodyDiv w:val="1"/>
      <w:marLeft w:val="0"/>
      <w:marRight w:val="0"/>
      <w:marTop w:val="0"/>
      <w:marBottom w:val="0"/>
      <w:divBdr>
        <w:top w:val="none" w:sz="0" w:space="0" w:color="auto"/>
        <w:left w:val="none" w:sz="0" w:space="0" w:color="auto"/>
        <w:bottom w:val="none" w:sz="0" w:space="0" w:color="auto"/>
        <w:right w:val="none" w:sz="0" w:space="0" w:color="auto"/>
      </w:divBdr>
    </w:div>
    <w:div w:id="94520526">
      <w:bodyDiv w:val="1"/>
      <w:marLeft w:val="0"/>
      <w:marRight w:val="0"/>
      <w:marTop w:val="0"/>
      <w:marBottom w:val="0"/>
      <w:divBdr>
        <w:top w:val="none" w:sz="0" w:space="0" w:color="auto"/>
        <w:left w:val="none" w:sz="0" w:space="0" w:color="auto"/>
        <w:bottom w:val="none" w:sz="0" w:space="0" w:color="auto"/>
        <w:right w:val="none" w:sz="0" w:space="0" w:color="auto"/>
      </w:divBdr>
    </w:div>
    <w:div w:id="150216786">
      <w:bodyDiv w:val="1"/>
      <w:marLeft w:val="0"/>
      <w:marRight w:val="0"/>
      <w:marTop w:val="0"/>
      <w:marBottom w:val="0"/>
      <w:divBdr>
        <w:top w:val="none" w:sz="0" w:space="0" w:color="auto"/>
        <w:left w:val="none" w:sz="0" w:space="0" w:color="auto"/>
        <w:bottom w:val="none" w:sz="0" w:space="0" w:color="auto"/>
        <w:right w:val="none" w:sz="0" w:space="0" w:color="auto"/>
      </w:divBdr>
    </w:div>
    <w:div w:id="159002292">
      <w:bodyDiv w:val="1"/>
      <w:marLeft w:val="0"/>
      <w:marRight w:val="0"/>
      <w:marTop w:val="0"/>
      <w:marBottom w:val="0"/>
      <w:divBdr>
        <w:top w:val="none" w:sz="0" w:space="0" w:color="auto"/>
        <w:left w:val="none" w:sz="0" w:space="0" w:color="auto"/>
        <w:bottom w:val="none" w:sz="0" w:space="0" w:color="auto"/>
        <w:right w:val="none" w:sz="0" w:space="0" w:color="auto"/>
      </w:divBdr>
    </w:div>
    <w:div w:id="186018276">
      <w:bodyDiv w:val="1"/>
      <w:marLeft w:val="0"/>
      <w:marRight w:val="0"/>
      <w:marTop w:val="0"/>
      <w:marBottom w:val="0"/>
      <w:divBdr>
        <w:top w:val="none" w:sz="0" w:space="0" w:color="auto"/>
        <w:left w:val="none" w:sz="0" w:space="0" w:color="auto"/>
        <w:bottom w:val="none" w:sz="0" w:space="0" w:color="auto"/>
        <w:right w:val="none" w:sz="0" w:space="0" w:color="auto"/>
      </w:divBdr>
    </w:div>
    <w:div w:id="191457314">
      <w:bodyDiv w:val="1"/>
      <w:marLeft w:val="0"/>
      <w:marRight w:val="0"/>
      <w:marTop w:val="0"/>
      <w:marBottom w:val="0"/>
      <w:divBdr>
        <w:top w:val="none" w:sz="0" w:space="0" w:color="auto"/>
        <w:left w:val="none" w:sz="0" w:space="0" w:color="auto"/>
        <w:bottom w:val="none" w:sz="0" w:space="0" w:color="auto"/>
        <w:right w:val="none" w:sz="0" w:space="0" w:color="auto"/>
      </w:divBdr>
    </w:div>
    <w:div w:id="192231042">
      <w:bodyDiv w:val="1"/>
      <w:marLeft w:val="0"/>
      <w:marRight w:val="0"/>
      <w:marTop w:val="0"/>
      <w:marBottom w:val="0"/>
      <w:divBdr>
        <w:top w:val="none" w:sz="0" w:space="0" w:color="auto"/>
        <w:left w:val="none" w:sz="0" w:space="0" w:color="auto"/>
        <w:bottom w:val="none" w:sz="0" w:space="0" w:color="auto"/>
        <w:right w:val="none" w:sz="0" w:space="0" w:color="auto"/>
      </w:divBdr>
    </w:div>
    <w:div w:id="199635076">
      <w:bodyDiv w:val="1"/>
      <w:marLeft w:val="0"/>
      <w:marRight w:val="0"/>
      <w:marTop w:val="0"/>
      <w:marBottom w:val="0"/>
      <w:divBdr>
        <w:top w:val="none" w:sz="0" w:space="0" w:color="auto"/>
        <w:left w:val="none" w:sz="0" w:space="0" w:color="auto"/>
        <w:bottom w:val="none" w:sz="0" w:space="0" w:color="auto"/>
        <w:right w:val="none" w:sz="0" w:space="0" w:color="auto"/>
      </w:divBdr>
    </w:div>
    <w:div w:id="232860431">
      <w:bodyDiv w:val="1"/>
      <w:marLeft w:val="0"/>
      <w:marRight w:val="0"/>
      <w:marTop w:val="0"/>
      <w:marBottom w:val="0"/>
      <w:divBdr>
        <w:top w:val="none" w:sz="0" w:space="0" w:color="auto"/>
        <w:left w:val="none" w:sz="0" w:space="0" w:color="auto"/>
        <w:bottom w:val="none" w:sz="0" w:space="0" w:color="auto"/>
        <w:right w:val="none" w:sz="0" w:space="0" w:color="auto"/>
      </w:divBdr>
    </w:div>
    <w:div w:id="261382807">
      <w:bodyDiv w:val="1"/>
      <w:marLeft w:val="0"/>
      <w:marRight w:val="0"/>
      <w:marTop w:val="0"/>
      <w:marBottom w:val="0"/>
      <w:divBdr>
        <w:top w:val="none" w:sz="0" w:space="0" w:color="auto"/>
        <w:left w:val="none" w:sz="0" w:space="0" w:color="auto"/>
        <w:bottom w:val="none" w:sz="0" w:space="0" w:color="auto"/>
        <w:right w:val="none" w:sz="0" w:space="0" w:color="auto"/>
      </w:divBdr>
    </w:div>
    <w:div w:id="339086452">
      <w:bodyDiv w:val="1"/>
      <w:marLeft w:val="0"/>
      <w:marRight w:val="0"/>
      <w:marTop w:val="0"/>
      <w:marBottom w:val="0"/>
      <w:divBdr>
        <w:top w:val="none" w:sz="0" w:space="0" w:color="auto"/>
        <w:left w:val="none" w:sz="0" w:space="0" w:color="auto"/>
        <w:bottom w:val="none" w:sz="0" w:space="0" w:color="auto"/>
        <w:right w:val="none" w:sz="0" w:space="0" w:color="auto"/>
      </w:divBdr>
    </w:div>
    <w:div w:id="352341446">
      <w:bodyDiv w:val="1"/>
      <w:marLeft w:val="0"/>
      <w:marRight w:val="0"/>
      <w:marTop w:val="0"/>
      <w:marBottom w:val="0"/>
      <w:divBdr>
        <w:top w:val="none" w:sz="0" w:space="0" w:color="auto"/>
        <w:left w:val="none" w:sz="0" w:space="0" w:color="auto"/>
        <w:bottom w:val="none" w:sz="0" w:space="0" w:color="auto"/>
        <w:right w:val="none" w:sz="0" w:space="0" w:color="auto"/>
      </w:divBdr>
    </w:div>
    <w:div w:id="355084022">
      <w:bodyDiv w:val="1"/>
      <w:marLeft w:val="0"/>
      <w:marRight w:val="0"/>
      <w:marTop w:val="0"/>
      <w:marBottom w:val="0"/>
      <w:divBdr>
        <w:top w:val="none" w:sz="0" w:space="0" w:color="auto"/>
        <w:left w:val="none" w:sz="0" w:space="0" w:color="auto"/>
        <w:bottom w:val="none" w:sz="0" w:space="0" w:color="auto"/>
        <w:right w:val="none" w:sz="0" w:space="0" w:color="auto"/>
      </w:divBdr>
    </w:div>
    <w:div w:id="382950710">
      <w:bodyDiv w:val="1"/>
      <w:marLeft w:val="0"/>
      <w:marRight w:val="0"/>
      <w:marTop w:val="0"/>
      <w:marBottom w:val="0"/>
      <w:divBdr>
        <w:top w:val="none" w:sz="0" w:space="0" w:color="auto"/>
        <w:left w:val="none" w:sz="0" w:space="0" w:color="auto"/>
        <w:bottom w:val="none" w:sz="0" w:space="0" w:color="auto"/>
        <w:right w:val="none" w:sz="0" w:space="0" w:color="auto"/>
      </w:divBdr>
    </w:div>
    <w:div w:id="396124649">
      <w:bodyDiv w:val="1"/>
      <w:marLeft w:val="0"/>
      <w:marRight w:val="0"/>
      <w:marTop w:val="0"/>
      <w:marBottom w:val="0"/>
      <w:divBdr>
        <w:top w:val="none" w:sz="0" w:space="0" w:color="auto"/>
        <w:left w:val="none" w:sz="0" w:space="0" w:color="auto"/>
        <w:bottom w:val="none" w:sz="0" w:space="0" w:color="auto"/>
        <w:right w:val="none" w:sz="0" w:space="0" w:color="auto"/>
      </w:divBdr>
    </w:div>
    <w:div w:id="470367121">
      <w:bodyDiv w:val="1"/>
      <w:marLeft w:val="0"/>
      <w:marRight w:val="0"/>
      <w:marTop w:val="0"/>
      <w:marBottom w:val="0"/>
      <w:divBdr>
        <w:top w:val="none" w:sz="0" w:space="0" w:color="auto"/>
        <w:left w:val="none" w:sz="0" w:space="0" w:color="auto"/>
        <w:bottom w:val="none" w:sz="0" w:space="0" w:color="auto"/>
        <w:right w:val="none" w:sz="0" w:space="0" w:color="auto"/>
      </w:divBdr>
    </w:div>
    <w:div w:id="491027518">
      <w:bodyDiv w:val="1"/>
      <w:marLeft w:val="0"/>
      <w:marRight w:val="0"/>
      <w:marTop w:val="0"/>
      <w:marBottom w:val="0"/>
      <w:divBdr>
        <w:top w:val="none" w:sz="0" w:space="0" w:color="auto"/>
        <w:left w:val="none" w:sz="0" w:space="0" w:color="auto"/>
        <w:bottom w:val="none" w:sz="0" w:space="0" w:color="auto"/>
        <w:right w:val="none" w:sz="0" w:space="0" w:color="auto"/>
      </w:divBdr>
    </w:div>
    <w:div w:id="532421777">
      <w:bodyDiv w:val="1"/>
      <w:marLeft w:val="0"/>
      <w:marRight w:val="0"/>
      <w:marTop w:val="0"/>
      <w:marBottom w:val="0"/>
      <w:divBdr>
        <w:top w:val="none" w:sz="0" w:space="0" w:color="auto"/>
        <w:left w:val="none" w:sz="0" w:space="0" w:color="auto"/>
        <w:bottom w:val="none" w:sz="0" w:space="0" w:color="auto"/>
        <w:right w:val="none" w:sz="0" w:space="0" w:color="auto"/>
      </w:divBdr>
    </w:div>
    <w:div w:id="542136801">
      <w:bodyDiv w:val="1"/>
      <w:marLeft w:val="0"/>
      <w:marRight w:val="0"/>
      <w:marTop w:val="0"/>
      <w:marBottom w:val="0"/>
      <w:divBdr>
        <w:top w:val="none" w:sz="0" w:space="0" w:color="auto"/>
        <w:left w:val="none" w:sz="0" w:space="0" w:color="auto"/>
        <w:bottom w:val="none" w:sz="0" w:space="0" w:color="auto"/>
        <w:right w:val="none" w:sz="0" w:space="0" w:color="auto"/>
      </w:divBdr>
    </w:div>
    <w:div w:id="547498583">
      <w:bodyDiv w:val="1"/>
      <w:marLeft w:val="0"/>
      <w:marRight w:val="0"/>
      <w:marTop w:val="0"/>
      <w:marBottom w:val="0"/>
      <w:divBdr>
        <w:top w:val="none" w:sz="0" w:space="0" w:color="auto"/>
        <w:left w:val="none" w:sz="0" w:space="0" w:color="auto"/>
        <w:bottom w:val="none" w:sz="0" w:space="0" w:color="auto"/>
        <w:right w:val="none" w:sz="0" w:space="0" w:color="auto"/>
      </w:divBdr>
    </w:div>
    <w:div w:id="564337135">
      <w:bodyDiv w:val="1"/>
      <w:marLeft w:val="0"/>
      <w:marRight w:val="0"/>
      <w:marTop w:val="0"/>
      <w:marBottom w:val="0"/>
      <w:divBdr>
        <w:top w:val="none" w:sz="0" w:space="0" w:color="auto"/>
        <w:left w:val="none" w:sz="0" w:space="0" w:color="auto"/>
        <w:bottom w:val="none" w:sz="0" w:space="0" w:color="auto"/>
        <w:right w:val="none" w:sz="0" w:space="0" w:color="auto"/>
      </w:divBdr>
    </w:div>
    <w:div w:id="570695198">
      <w:bodyDiv w:val="1"/>
      <w:marLeft w:val="0"/>
      <w:marRight w:val="0"/>
      <w:marTop w:val="0"/>
      <w:marBottom w:val="0"/>
      <w:divBdr>
        <w:top w:val="none" w:sz="0" w:space="0" w:color="auto"/>
        <w:left w:val="none" w:sz="0" w:space="0" w:color="auto"/>
        <w:bottom w:val="none" w:sz="0" w:space="0" w:color="auto"/>
        <w:right w:val="none" w:sz="0" w:space="0" w:color="auto"/>
      </w:divBdr>
    </w:div>
    <w:div w:id="570848303">
      <w:bodyDiv w:val="1"/>
      <w:marLeft w:val="0"/>
      <w:marRight w:val="0"/>
      <w:marTop w:val="0"/>
      <w:marBottom w:val="0"/>
      <w:divBdr>
        <w:top w:val="none" w:sz="0" w:space="0" w:color="auto"/>
        <w:left w:val="none" w:sz="0" w:space="0" w:color="auto"/>
        <w:bottom w:val="none" w:sz="0" w:space="0" w:color="auto"/>
        <w:right w:val="none" w:sz="0" w:space="0" w:color="auto"/>
      </w:divBdr>
    </w:div>
    <w:div w:id="615215309">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25450296">
      <w:bodyDiv w:val="1"/>
      <w:marLeft w:val="0"/>
      <w:marRight w:val="0"/>
      <w:marTop w:val="0"/>
      <w:marBottom w:val="0"/>
      <w:divBdr>
        <w:top w:val="none" w:sz="0" w:space="0" w:color="auto"/>
        <w:left w:val="none" w:sz="0" w:space="0" w:color="auto"/>
        <w:bottom w:val="none" w:sz="0" w:space="0" w:color="auto"/>
        <w:right w:val="none" w:sz="0" w:space="0" w:color="auto"/>
      </w:divBdr>
    </w:div>
    <w:div w:id="740365995">
      <w:bodyDiv w:val="1"/>
      <w:marLeft w:val="0"/>
      <w:marRight w:val="0"/>
      <w:marTop w:val="0"/>
      <w:marBottom w:val="0"/>
      <w:divBdr>
        <w:top w:val="none" w:sz="0" w:space="0" w:color="auto"/>
        <w:left w:val="none" w:sz="0" w:space="0" w:color="auto"/>
        <w:bottom w:val="none" w:sz="0" w:space="0" w:color="auto"/>
        <w:right w:val="none" w:sz="0" w:space="0" w:color="auto"/>
      </w:divBdr>
    </w:div>
    <w:div w:id="748309992">
      <w:bodyDiv w:val="1"/>
      <w:marLeft w:val="0"/>
      <w:marRight w:val="0"/>
      <w:marTop w:val="0"/>
      <w:marBottom w:val="0"/>
      <w:divBdr>
        <w:top w:val="none" w:sz="0" w:space="0" w:color="auto"/>
        <w:left w:val="none" w:sz="0" w:space="0" w:color="auto"/>
        <w:bottom w:val="none" w:sz="0" w:space="0" w:color="auto"/>
        <w:right w:val="none" w:sz="0" w:space="0" w:color="auto"/>
      </w:divBdr>
    </w:div>
    <w:div w:id="819346782">
      <w:bodyDiv w:val="1"/>
      <w:marLeft w:val="0"/>
      <w:marRight w:val="0"/>
      <w:marTop w:val="0"/>
      <w:marBottom w:val="0"/>
      <w:divBdr>
        <w:top w:val="none" w:sz="0" w:space="0" w:color="auto"/>
        <w:left w:val="none" w:sz="0" w:space="0" w:color="auto"/>
        <w:bottom w:val="none" w:sz="0" w:space="0" w:color="auto"/>
        <w:right w:val="none" w:sz="0" w:space="0" w:color="auto"/>
      </w:divBdr>
    </w:div>
    <w:div w:id="874463417">
      <w:bodyDiv w:val="1"/>
      <w:marLeft w:val="0"/>
      <w:marRight w:val="0"/>
      <w:marTop w:val="0"/>
      <w:marBottom w:val="0"/>
      <w:divBdr>
        <w:top w:val="none" w:sz="0" w:space="0" w:color="auto"/>
        <w:left w:val="none" w:sz="0" w:space="0" w:color="auto"/>
        <w:bottom w:val="none" w:sz="0" w:space="0" w:color="auto"/>
        <w:right w:val="none" w:sz="0" w:space="0" w:color="auto"/>
      </w:divBdr>
    </w:div>
    <w:div w:id="926108532">
      <w:bodyDiv w:val="1"/>
      <w:marLeft w:val="0"/>
      <w:marRight w:val="0"/>
      <w:marTop w:val="0"/>
      <w:marBottom w:val="0"/>
      <w:divBdr>
        <w:top w:val="none" w:sz="0" w:space="0" w:color="auto"/>
        <w:left w:val="none" w:sz="0" w:space="0" w:color="auto"/>
        <w:bottom w:val="none" w:sz="0" w:space="0" w:color="auto"/>
        <w:right w:val="none" w:sz="0" w:space="0" w:color="auto"/>
      </w:divBdr>
    </w:div>
    <w:div w:id="986780895">
      <w:bodyDiv w:val="1"/>
      <w:marLeft w:val="0"/>
      <w:marRight w:val="0"/>
      <w:marTop w:val="0"/>
      <w:marBottom w:val="0"/>
      <w:divBdr>
        <w:top w:val="none" w:sz="0" w:space="0" w:color="auto"/>
        <w:left w:val="none" w:sz="0" w:space="0" w:color="auto"/>
        <w:bottom w:val="none" w:sz="0" w:space="0" w:color="auto"/>
        <w:right w:val="none" w:sz="0" w:space="0" w:color="auto"/>
      </w:divBdr>
    </w:div>
    <w:div w:id="1034769679">
      <w:bodyDiv w:val="1"/>
      <w:marLeft w:val="0"/>
      <w:marRight w:val="0"/>
      <w:marTop w:val="0"/>
      <w:marBottom w:val="0"/>
      <w:divBdr>
        <w:top w:val="none" w:sz="0" w:space="0" w:color="auto"/>
        <w:left w:val="none" w:sz="0" w:space="0" w:color="auto"/>
        <w:bottom w:val="none" w:sz="0" w:space="0" w:color="auto"/>
        <w:right w:val="none" w:sz="0" w:space="0" w:color="auto"/>
      </w:divBdr>
    </w:div>
    <w:div w:id="1053770156">
      <w:bodyDiv w:val="1"/>
      <w:marLeft w:val="0"/>
      <w:marRight w:val="0"/>
      <w:marTop w:val="0"/>
      <w:marBottom w:val="0"/>
      <w:divBdr>
        <w:top w:val="none" w:sz="0" w:space="0" w:color="auto"/>
        <w:left w:val="none" w:sz="0" w:space="0" w:color="auto"/>
        <w:bottom w:val="none" w:sz="0" w:space="0" w:color="auto"/>
        <w:right w:val="none" w:sz="0" w:space="0" w:color="auto"/>
      </w:divBdr>
    </w:div>
    <w:div w:id="1065298855">
      <w:bodyDiv w:val="1"/>
      <w:marLeft w:val="0"/>
      <w:marRight w:val="0"/>
      <w:marTop w:val="0"/>
      <w:marBottom w:val="0"/>
      <w:divBdr>
        <w:top w:val="none" w:sz="0" w:space="0" w:color="auto"/>
        <w:left w:val="none" w:sz="0" w:space="0" w:color="auto"/>
        <w:bottom w:val="none" w:sz="0" w:space="0" w:color="auto"/>
        <w:right w:val="none" w:sz="0" w:space="0" w:color="auto"/>
      </w:divBdr>
    </w:div>
    <w:div w:id="1099257609">
      <w:bodyDiv w:val="1"/>
      <w:marLeft w:val="0"/>
      <w:marRight w:val="0"/>
      <w:marTop w:val="0"/>
      <w:marBottom w:val="0"/>
      <w:divBdr>
        <w:top w:val="none" w:sz="0" w:space="0" w:color="auto"/>
        <w:left w:val="none" w:sz="0" w:space="0" w:color="auto"/>
        <w:bottom w:val="none" w:sz="0" w:space="0" w:color="auto"/>
        <w:right w:val="none" w:sz="0" w:space="0" w:color="auto"/>
      </w:divBdr>
    </w:div>
    <w:div w:id="1137994254">
      <w:bodyDiv w:val="1"/>
      <w:marLeft w:val="0"/>
      <w:marRight w:val="0"/>
      <w:marTop w:val="0"/>
      <w:marBottom w:val="0"/>
      <w:divBdr>
        <w:top w:val="none" w:sz="0" w:space="0" w:color="auto"/>
        <w:left w:val="none" w:sz="0" w:space="0" w:color="auto"/>
        <w:bottom w:val="none" w:sz="0" w:space="0" w:color="auto"/>
        <w:right w:val="none" w:sz="0" w:space="0" w:color="auto"/>
      </w:divBdr>
    </w:div>
    <w:div w:id="1144079857">
      <w:bodyDiv w:val="1"/>
      <w:marLeft w:val="0"/>
      <w:marRight w:val="0"/>
      <w:marTop w:val="0"/>
      <w:marBottom w:val="0"/>
      <w:divBdr>
        <w:top w:val="none" w:sz="0" w:space="0" w:color="auto"/>
        <w:left w:val="none" w:sz="0" w:space="0" w:color="auto"/>
        <w:bottom w:val="none" w:sz="0" w:space="0" w:color="auto"/>
        <w:right w:val="none" w:sz="0" w:space="0" w:color="auto"/>
      </w:divBdr>
    </w:div>
    <w:div w:id="1170750304">
      <w:bodyDiv w:val="1"/>
      <w:marLeft w:val="0"/>
      <w:marRight w:val="0"/>
      <w:marTop w:val="0"/>
      <w:marBottom w:val="0"/>
      <w:divBdr>
        <w:top w:val="none" w:sz="0" w:space="0" w:color="auto"/>
        <w:left w:val="none" w:sz="0" w:space="0" w:color="auto"/>
        <w:bottom w:val="none" w:sz="0" w:space="0" w:color="auto"/>
        <w:right w:val="none" w:sz="0" w:space="0" w:color="auto"/>
      </w:divBdr>
    </w:div>
    <w:div w:id="1206210295">
      <w:bodyDiv w:val="1"/>
      <w:marLeft w:val="0"/>
      <w:marRight w:val="0"/>
      <w:marTop w:val="0"/>
      <w:marBottom w:val="0"/>
      <w:divBdr>
        <w:top w:val="none" w:sz="0" w:space="0" w:color="auto"/>
        <w:left w:val="none" w:sz="0" w:space="0" w:color="auto"/>
        <w:bottom w:val="none" w:sz="0" w:space="0" w:color="auto"/>
        <w:right w:val="none" w:sz="0" w:space="0" w:color="auto"/>
      </w:divBdr>
    </w:div>
    <w:div w:id="1222981525">
      <w:bodyDiv w:val="1"/>
      <w:marLeft w:val="0"/>
      <w:marRight w:val="0"/>
      <w:marTop w:val="0"/>
      <w:marBottom w:val="0"/>
      <w:divBdr>
        <w:top w:val="none" w:sz="0" w:space="0" w:color="auto"/>
        <w:left w:val="none" w:sz="0" w:space="0" w:color="auto"/>
        <w:bottom w:val="none" w:sz="0" w:space="0" w:color="auto"/>
        <w:right w:val="none" w:sz="0" w:space="0" w:color="auto"/>
      </w:divBdr>
    </w:div>
    <w:div w:id="1225407628">
      <w:bodyDiv w:val="1"/>
      <w:marLeft w:val="0"/>
      <w:marRight w:val="0"/>
      <w:marTop w:val="0"/>
      <w:marBottom w:val="0"/>
      <w:divBdr>
        <w:top w:val="none" w:sz="0" w:space="0" w:color="auto"/>
        <w:left w:val="none" w:sz="0" w:space="0" w:color="auto"/>
        <w:bottom w:val="none" w:sz="0" w:space="0" w:color="auto"/>
        <w:right w:val="none" w:sz="0" w:space="0" w:color="auto"/>
      </w:divBdr>
    </w:div>
    <w:div w:id="1272317467">
      <w:bodyDiv w:val="1"/>
      <w:marLeft w:val="0"/>
      <w:marRight w:val="0"/>
      <w:marTop w:val="0"/>
      <w:marBottom w:val="0"/>
      <w:divBdr>
        <w:top w:val="none" w:sz="0" w:space="0" w:color="auto"/>
        <w:left w:val="none" w:sz="0" w:space="0" w:color="auto"/>
        <w:bottom w:val="none" w:sz="0" w:space="0" w:color="auto"/>
        <w:right w:val="none" w:sz="0" w:space="0" w:color="auto"/>
      </w:divBdr>
    </w:div>
    <w:div w:id="1278835612">
      <w:bodyDiv w:val="1"/>
      <w:marLeft w:val="0"/>
      <w:marRight w:val="0"/>
      <w:marTop w:val="0"/>
      <w:marBottom w:val="0"/>
      <w:divBdr>
        <w:top w:val="none" w:sz="0" w:space="0" w:color="auto"/>
        <w:left w:val="none" w:sz="0" w:space="0" w:color="auto"/>
        <w:bottom w:val="none" w:sz="0" w:space="0" w:color="auto"/>
        <w:right w:val="none" w:sz="0" w:space="0" w:color="auto"/>
      </w:divBdr>
    </w:div>
    <w:div w:id="1377780000">
      <w:bodyDiv w:val="1"/>
      <w:marLeft w:val="0"/>
      <w:marRight w:val="0"/>
      <w:marTop w:val="0"/>
      <w:marBottom w:val="0"/>
      <w:divBdr>
        <w:top w:val="none" w:sz="0" w:space="0" w:color="auto"/>
        <w:left w:val="none" w:sz="0" w:space="0" w:color="auto"/>
        <w:bottom w:val="none" w:sz="0" w:space="0" w:color="auto"/>
        <w:right w:val="none" w:sz="0" w:space="0" w:color="auto"/>
      </w:divBdr>
    </w:div>
    <w:div w:id="1390570422">
      <w:bodyDiv w:val="1"/>
      <w:marLeft w:val="0"/>
      <w:marRight w:val="0"/>
      <w:marTop w:val="0"/>
      <w:marBottom w:val="0"/>
      <w:divBdr>
        <w:top w:val="none" w:sz="0" w:space="0" w:color="auto"/>
        <w:left w:val="none" w:sz="0" w:space="0" w:color="auto"/>
        <w:bottom w:val="none" w:sz="0" w:space="0" w:color="auto"/>
        <w:right w:val="none" w:sz="0" w:space="0" w:color="auto"/>
      </w:divBdr>
    </w:div>
    <w:div w:id="1434012805">
      <w:bodyDiv w:val="1"/>
      <w:marLeft w:val="0"/>
      <w:marRight w:val="0"/>
      <w:marTop w:val="0"/>
      <w:marBottom w:val="0"/>
      <w:divBdr>
        <w:top w:val="none" w:sz="0" w:space="0" w:color="auto"/>
        <w:left w:val="none" w:sz="0" w:space="0" w:color="auto"/>
        <w:bottom w:val="none" w:sz="0" w:space="0" w:color="auto"/>
        <w:right w:val="none" w:sz="0" w:space="0" w:color="auto"/>
      </w:divBdr>
    </w:div>
    <w:div w:id="1436710275">
      <w:bodyDiv w:val="1"/>
      <w:marLeft w:val="0"/>
      <w:marRight w:val="0"/>
      <w:marTop w:val="0"/>
      <w:marBottom w:val="0"/>
      <w:divBdr>
        <w:top w:val="none" w:sz="0" w:space="0" w:color="auto"/>
        <w:left w:val="none" w:sz="0" w:space="0" w:color="auto"/>
        <w:bottom w:val="none" w:sz="0" w:space="0" w:color="auto"/>
        <w:right w:val="none" w:sz="0" w:space="0" w:color="auto"/>
      </w:divBdr>
    </w:div>
    <w:div w:id="1521430754">
      <w:bodyDiv w:val="1"/>
      <w:marLeft w:val="0"/>
      <w:marRight w:val="0"/>
      <w:marTop w:val="0"/>
      <w:marBottom w:val="0"/>
      <w:divBdr>
        <w:top w:val="none" w:sz="0" w:space="0" w:color="auto"/>
        <w:left w:val="none" w:sz="0" w:space="0" w:color="auto"/>
        <w:bottom w:val="none" w:sz="0" w:space="0" w:color="auto"/>
        <w:right w:val="none" w:sz="0" w:space="0" w:color="auto"/>
      </w:divBdr>
    </w:div>
    <w:div w:id="1524512202">
      <w:bodyDiv w:val="1"/>
      <w:marLeft w:val="0"/>
      <w:marRight w:val="0"/>
      <w:marTop w:val="0"/>
      <w:marBottom w:val="0"/>
      <w:divBdr>
        <w:top w:val="none" w:sz="0" w:space="0" w:color="auto"/>
        <w:left w:val="none" w:sz="0" w:space="0" w:color="auto"/>
        <w:bottom w:val="none" w:sz="0" w:space="0" w:color="auto"/>
        <w:right w:val="none" w:sz="0" w:space="0" w:color="auto"/>
      </w:divBdr>
    </w:div>
    <w:div w:id="153546289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610120728">
      <w:bodyDiv w:val="1"/>
      <w:marLeft w:val="0"/>
      <w:marRight w:val="0"/>
      <w:marTop w:val="0"/>
      <w:marBottom w:val="0"/>
      <w:divBdr>
        <w:top w:val="none" w:sz="0" w:space="0" w:color="auto"/>
        <w:left w:val="none" w:sz="0" w:space="0" w:color="auto"/>
        <w:bottom w:val="none" w:sz="0" w:space="0" w:color="auto"/>
        <w:right w:val="none" w:sz="0" w:space="0" w:color="auto"/>
      </w:divBdr>
    </w:div>
    <w:div w:id="1627392297">
      <w:bodyDiv w:val="1"/>
      <w:marLeft w:val="0"/>
      <w:marRight w:val="0"/>
      <w:marTop w:val="0"/>
      <w:marBottom w:val="0"/>
      <w:divBdr>
        <w:top w:val="none" w:sz="0" w:space="0" w:color="auto"/>
        <w:left w:val="none" w:sz="0" w:space="0" w:color="auto"/>
        <w:bottom w:val="none" w:sz="0" w:space="0" w:color="auto"/>
        <w:right w:val="none" w:sz="0" w:space="0" w:color="auto"/>
      </w:divBdr>
    </w:div>
    <w:div w:id="1636834751">
      <w:bodyDiv w:val="1"/>
      <w:marLeft w:val="0"/>
      <w:marRight w:val="0"/>
      <w:marTop w:val="0"/>
      <w:marBottom w:val="0"/>
      <w:divBdr>
        <w:top w:val="none" w:sz="0" w:space="0" w:color="auto"/>
        <w:left w:val="none" w:sz="0" w:space="0" w:color="auto"/>
        <w:bottom w:val="none" w:sz="0" w:space="0" w:color="auto"/>
        <w:right w:val="none" w:sz="0" w:space="0" w:color="auto"/>
      </w:divBdr>
    </w:div>
    <w:div w:id="1643267428">
      <w:bodyDiv w:val="1"/>
      <w:marLeft w:val="0"/>
      <w:marRight w:val="0"/>
      <w:marTop w:val="0"/>
      <w:marBottom w:val="0"/>
      <w:divBdr>
        <w:top w:val="none" w:sz="0" w:space="0" w:color="auto"/>
        <w:left w:val="none" w:sz="0" w:space="0" w:color="auto"/>
        <w:bottom w:val="none" w:sz="0" w:space="0" w:color="auto"/>
        <w:right w:val="none" w:sz="0" w:space="0" w:color="auto"/>
      </w:divBdr>
    </w:div>
    <w:div w:id="1724937973">
      <w:bodyDiv w:val="1"/>
      <w:marLeft w:val="0"/>
      <w:marRight w:val="0"/>
      <w:marTop w:val="0"/>
      <w:marBottom w:val="0"/>
      <w:divBdr>
        <w:top w:val="none" w:sz="0" w:space="0" w:color="auto"/>
        <w:left w:val="none" w:sz="0" w:space="0" w:color="auto"/>
        <w:bottom w:val="none" w:sz="0" w:space="0" w:color="auto"/>
        <w:right w:val="none" w:sz="0" w:space="0" w:color="auto"/>
      </w:divBdr>
    </w:div>
    <w:div w:id="1815486286">
      <w:bodyDiv w:val="1"/>
      <w:marLeft w:val="0"/>
      <w:marRight w:val="0"/>
      <w:marTop w:val="0"/>
      <w:marBottom w:val="0"/>
      <w:divBdr>
        <w:top w:val="none" w:sz="0" w:space="0" w:color="auto"/>
        <w:left w:val="none" w:sz="0" w:space="0" w:color="auto"/>
        <w:bottom w:val="none" w:sz="0" w:space="0" w:color="auto"/>
        <w:right w:val="none" w:sz="0" w:space="0" w:color="auto"/>
      </w:divBdr>
    </w:div>
    <w:div w:id="1868712926">
      <w:bodyDiv w:val="1"/>
      <w:marLeft w:val="0"/>
      <w:marRight w:val="0"/>
      <w:marTop w:val="0"/>
      <w:marBottom w:val="0"/>
      <w:divBdr>
        <w:top w:val="none" w:sz="0" w:space="0" w:color="auto"/>
        <w:left w:val="none" w:sz="0" w:space="0" w:color="auto"/>
        <w:bottom w:val="none" w:sz="0" w:space="0" w:color="auto"/>
        <w:right w:val="none" w:sz="0" w:space="0" w:color="auto"/>
      </w:divBdr>
    </w:div>
    <w:div w:id="1888300011">
      <w:bodyDiv w:val="1"/>
      <w:marLeft w:val="0"/>
      <w:marRight w:val="0"/>
      <w:marTop w:val="0"/>
      <w:marBottom w:val="0"/>
      <w:divBdr>
        <w:top w:val="none" w:sz="0" w:space="0" w:color="auto"/>
        <w:left w:val="none" w:sz="0" w:space="0" w:color="auto"/>
        <w:bottom w:val="none" w:sz="0" w:space="0" w:color="auto"/>
        <w:right w:val="none" w:sz="0" w:space="0" w:color="auto"/>
      </w:divBdr>
    </w:div>
    <w:div w:id="1903321031">
      <w:bodyDiv w:val="1"/>
      <w:marLeft w:val="0"/>
      <w:marRight w:val="0"/>
      <w:marTop w:val="0"/>
      <w:marBottom w:val="0"/>
      <w:divBdr>
        <w:top w:val="none" w:sz="0" w:space="0" w:color="auto"/>
        <w:left w:val="none" w:sz="0" w:space="0" w:color="auto"/>
        <w:bottom w:val="none" w:sz="0" w:space="0" w:color="auto"/>
        <w:right w:val="none" w:sz="0" w:space="0" w:color="auto"/>
      </w:divBdr>
    </w:div>
    <w:div w:id="1904178931">
      <w:bodyDiv w:val="1"/>
      <w:marLeft w:val="0"/>
      <w:marRight w:val="0"/>
      <w:marTop w:val="0"/>
      <w:marBottom w:val="0"/>
      <w:divBdr>
        <w:top w:val="none" w:sz="0" w:space="0" w:color="auto"/>
        <w:left w:val="none" w:sz="0" w:space="0" w:color="auto"/>
        <w:bottom w:val="none" w:sz="0" w:space="0" w:color="auto"/>
        <w:right w:val="none" w:sz="0" w:space="0" w:color="auto"/>
      </w:divBdr>
    </w:div>
    <w:div w:id="19381710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0019364">
      <w:bodyDiv w:val="1"/>
      <w:marLeft w:val="0"/>
      <w:marRight w:val="0"/>
      <w:marTop w:val="0"/>
      <w:marBottom w:val="0"/>
      <w:divBdr>
        <w:top w:val="none" w:sz="0" w:space="0" w:color="auto"/>
        <w:left w:val="none" w:sz="0" w:space="0" w:color="auto"/>
        <w:bottom w:val="none" w:sz="0" w:space="0" w:color="auto"/>
        <w:right w:val="none" w:sz="0" w:space="0" w:color="auto"/>
      </w:divBdr>
    </w:div>
    <w:div w:id="2001348753">
      <w:bodyDiv w:val="1"/>
      <w:marLeft w:val="0"/>
      <w:marRight w:val="0"/>
      <w:marTop w:val="0"/>
      <w:marBottom w:val="0"/>
      <w:divBdr>
        <w:top w:val="none" w:sz="0" w:space="0" w:color="auto"/>
        <w:left w:val="none" w:sz="0" w:space="0" w:color="auto"/>
        <w:bottom w:val="none" w:sz="0" w:space="0" w:color="auto"/>
        <w:right w:val="none" w:sz="0" w:space="0" w:color="auto"/>
      </w:divBdr>
    </w:div>
    <w:div w:id="2007048886">
      <w:bodyDiv w:val="1"/>
      <w:marLeft w:val="0"/>
      <w:marRight w:val="0"/>
      <w:marTop w:val="0"/>
      <w:marBottom w:val="0"/>
      <w:divBdr>
        <w:top w:val="none" w:sz="0" w:space="0" w:color="auto"/>
        <w:left w:val="none" w:sz="0" w:space="0" w:color="auto"/>
        <w:bottom w:val="none" w:sz="0" w:space="0" w:color="auto"/>
        <w:right w:val="none" w:sz="0" w:space="0" w:color="auto"/>
      </w:divBdr>
    </w:div>
    <w:div w:id="2061442795">
      <w:bodyDiv w:val="1"/>
      <w:marLeft w:val="0"/>
      <w:marRight w:val="0"/>
      <w:marTop w:val="0"/>
      <w:marBottom w:val="0"/>
      <w:divBdr>
        <w:top w:val="none" w:sz="0" w:space="0" w:color="auto"/>
        <w:left w:val="none" w:sz="0" w:space="0" w:color="auto"/>
        <w:bottom w:val="none" w:sz="0" w:space="0" w:color="auto"/>
        <w:right w:val="none" w:sz="0" w:space="0" w:color="auto"/>
      </w:divBdr>
    </w:div>
    <w:div w:id="2074346909">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1493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australia.gov.au/workers-compensation/comparing-workers-compensation-australia" TargetMode="External"/><Relationship Id="rId18" Type="http://schemas.openxmlformats.org/officeDocument/2006/relationships/chart" Target="charts/chart1.xml"/><Relationship Id="rId26" Type="http://schemas.openxmlformats.org/officeDocument/2006/relationships/chart" Target="charts/chart2.xml"/><Relationship Id="rId39" Type="http://schemas.openxmlformats.org/officeDocument/2006/relationships/image" Target="media/image5.png"/><Relationship Id="rId21" Type="http://schemas.openxmlformats.org/officeDocument/2006/relationships/footer" Target="footer3.xml"/><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image" Target="media/image9.png"/><Relationship Id="rId50" Type="http://schemas.openxmlformats.org/officeDocument/2006/relationships/chart" Target="charts/chart13.xml"/><Relationship Id="rId55" Type="http://schemas.openxmlformats.org/officeDocument/2006/relationships/chart" Target="charts/chart16.xml"/><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workaustralia.gov.au/workers-compensation/comparing-workers-compensation-australia" TargetMode="External"/><Relationship Id="rId11" Type="http://schemas.openxmlformats.org/officeDocument/2006/relationships/footer" Target="footer1.xml"/><Relationship Id="rId24" Type="http://schemas.openxmlformats.org/officeDocument/2006/relationships/footer" Target="footer5.xml"/><Relationship Id="rId37" Type="http://schemas.openxmlformats.org/officeDocument/2006/relationships/image" Target="media/image4.png"/><Relationship Id="rId40" Type="http://schemas.openxmlformats.org/officeDocument/2006/relationships/chart" Target="charts/chart8.xml"/><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chart" Target="charts/chart18.xml"/><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chart" Target="charts/chart3.xm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chart" Target="charts/chart12.xml"/><Relationship Id="rId56" Type="http://schemas.openxmlformats.org/officeDocument/2006/relationships/image" Target="media/image13.png"/><Relationship Id="rId64" Type="http://schemas.openxmlformats.org/officeDocument/2006/relationships/chart" Target="charts/chart21.xml"/><Relationship Id="rId8" Type="http://schemas.openxmlformats.org/officeDocument/2006/relationships/image" Target="media/image1.jp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safeworkaustralia.gov.au/workers-compensation/comparing-workers-compensation-australia" TargetMode="External"/><Relationship Id="rId17" Type="http://schemas.openxmlformats.org/officeDocument/2006/relationships/hyperlink" Target="https://www.safeworkaustralia.gov.au" TargetMode="External"/><Relationship Id="rId25" Type="http://schemas.openxmlformats.org/officeDocument/2006/relationships/footer" Target="footer6.xml"/><Relationship Id="rId33" Type="http://schemas.openxmlformats.org/officeDocument/2006/relationships/image" Target="media/image2.png"/><Relationship Id="rId38" Type="http://schemas.openxmlformats.org/officeDocument/2006/relationships/chart" Target="charts/chart7.xml"/><Relationship Id="rId46" Type="http://schemas.openxmlformats.org/officeDocument/2006/relationships/chart" Target="charts/chart11.xml"/><Relationship Id="rId59" Type="http://schemas.openxmlformats.org/officeDocument/2006/relationships/image" Target="media/image14.png"/><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6.png"/><Relationship Id="rId54" Type="http://schemas.openxmlformats.org/officeDocument/2006/relationships/chart" Target="charts/chart15.xml"/><Relationship Id="rId62"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chart" Target="charts/chart4.xml"/><Relationship Id="rId36" Type="http://schemas.openxmlformats.org/officeDocument/2006/relationships/chart" Target="charts/chart6.xml"/><Relationship Id="rId49" Type="http://schemas.openxmlformats.org/officeDocument/2006/relationships/image" Target="media/image10.png"/><Relationship Id="rId57" Type="http://schemas.openxmlformats.org/officeDocument/2006/relationships/chart" Target="charts/chart17.xml"/><Relationship Id="rId10" Type="http://schemas.openxmlformats.org/officeDocument/2006/relationships/hyperlink" Target="http://www.swa.gov.au" TargetMode="External"/><Relationship Id="rId44" Type="http://schemas.openxmlformats.org/officeDocument/2006/relationships/chart" Target="charts/chart10.xml"/><Relationship Id="rId52" Type="http://schemas.openxmlformats.org/officeDocument/2006/relationships/chart" Target="charts/chart14.xml"/><Relationship Id="rId60" Type="http://schemas.openxmlformats.org/officeDocument/2006/relationships/chart" Target="charts/chart19.xml"/><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info@swa.gov.au"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PRODAPP.application.enet\STATS_DATA\Data%20and%20Analysis\Projects\CPM%20Project\CPM%2025th%20Report%20-%202021-22\Data\Data%20-%20Premiums\Combined%20CPM%2025%20-%20Premium%20Rates%20by%20industry.xlsm"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42883716027585"/>
          <c:y val="9.8901231570376308E-2"/>
          <c:w val="0.80635045627240864"/>
          <c:h val="0.64011074877493557"/>
        </c:manualLayout>
      </c:layout>
      <c:barChart>
        <c:barDir val="col"/>
        <c:grouping val="clustered"/>
        <c:varyColors val="0"/>
        <c:ser>
          <c:idx val="6"/>
          <c:order val="0"/>
          <c:tx>
            <c:strRef>
              <c:f>'Jurisdiction (for pub)'!$C$4</c:f>
              <c:strCache>
                <c:ptCount val="1"/>
                <c:pt idx="0">
                  <c:v>2017-18</c:v>
                </c:pt>
              </c:strCache>
            </c:strRef>
          </c:tx>
          <c:spPr>
            <a:solidFill>
              <a:srgbClr val="D9D9D9"/>
            </a:solidFill>
            <a:ln w="6350">
              <a:solidFill>
                <a:srgbClr val="000000"/>
              </a:solidFill>
            </a:ln>
          </c:spPr>
          <c:invertIfNegative val="0"/>
          <c:cat>
            <c:strRef>
              <c:f>'Jurisdiction (for pub)'!$A$5:$A$15</c:f>
              <c:strCache>
                <c:ptCount val="11"/>
                <c:pt idx="0">
                  <c:v>Tas</c:v>
                </c:pt>
                <c:pt idx="1">
                  <c:v>ACT Private</c:v>
                </c:pt>
                <c:pt idx="2">
                  <c:v>SA</c:v>
                </c:pt>
                <c:pt idx="3">
                  <c:v>WA</c:v>
                </c:pt>
                <c:pt idx="4">
                  <c:v>NSW</c:v>
                </c:pt>
                <c:pt idx="5">
                  <c:v>Vic</c:v>
                </c:pt>
                <c:pt idx="6">
                  <c:v>NT</c:v>
                </c:pt>
                <c:pt idx="7">
                  <c:v>Qld</c:v>
                </c:pt>
                <c:pt idx="8">
                  <c:v>Comcare</c:v>
                </c:pt>
                <c:pt idx="9">
                  <c:v>Aus Av</c:v>
                </c:pt>
                <c:pt idx="10">
                  <c:v>NZ</c:v>
                </c:pt>
              </c:strCache>
            </c:strRef>
          </c:cat>
          <c:val>
            <c:numRef>
              <c:f>'Jurisdiction (for pub)'!$C$5:$C$15</c:f>
              <c:numCache>
                <c:formatCode>0.00</c:formatCode>
                <c:ptCount val="11"/>
                <c:pt idx="0">
                  <c:v>1.6202230388582872</c:v>
                </c:pt>
                <c:pt idx="1">
                  <c:v>1.6420862946613133</c:v>
                </c:pt>
                <c:pt idx="2">
                  <c:v>1.8432971241302523</c:v>
                </c:pt>
                <c:pt idx="3">
                  <c:v>1.2024655235075723</c:v>
                </c:pt>
                <c:pt idx="4">
                  <c:v>1.3683551026727383</c:v>
                </c:pt>
                <c:pt idx="5">
                  <c:v>1.3676316241515232</c:v>
                </c:pt>
                <c:pt idx="6">
                  <c:v>1.1973432245606266</c:v>
                </c:pt>
                <c:pt idx="7">
                  <c:v>1.1590947995158492</c:v>
                </c:pt>
                <c:pt idx="8">
                  <c:v>0.85328255718797719</c:v>
                </c:pt>
                <c:pt idx="9">
                  <c:v>1.3211790385962259</c:v>
                </c:pt>
                <c:pt idx="10">
                  <c:v>0.56570744765628489</c:v>
                </c:pt>
              </c:numCache>
            </c:numRef>
          </c:val>
          <c:extLst>
            <c:ext xmlns:c16="http://schemas.microsoft.com/office/drawing/2014/chart" uri="{C3380CC4-5D6E-409C-BE32-E72D297353CC}">
              <c16:uniqueId val="{00000000-5117-402E-A59B-16D0B95774CE}"/>
            </c:ext>
          </c:extLst>
        </c:ser>
        <c:ser>
          <c:idx val="0"/>
          <c:order val="1"/>
          <c:tx>
            <c:strRef>
              <c:f>'Jurisdiction (for pub)'!$D$4</c:f>
              <c:strCache>
                <c:ptCount val="1"/>
                <c:pt idx="0">
                  <c:v>2018-19</c:v>
                </c:pt>
              </c:strCache>
            </c:strRef>
          </c:tx>
          <c:spPr>
            <a:solidFill>
              <a:srgbClr val="A6A6A6"/>
            </a:solidFill>
            <a:ln w="6350">
              <a:solidFill>
                <a:srgbClr val="000000"/>
              </a:solidFill>
            </a:ln>
          </c:spPr>
          <c:invertIfNegative val="0"/>
          <c:cat>
            <c:strRef>
              <c:f>'Jurisdiction (for pub)'!$A$5:$A$15</c:f>
              <c:strCache>
                <c:ptCount val="11"/>
                <c:pt idx="0">
                  <c:v>Tas</c:v>
                </c:pt>
                <c:pt idx="1">
                  <c:v>ACT Private</c:v>
                </c:pt>
                <c:pt idx="2">
                  <c:v>SA</c:v>
                </c:pt>
                <c:pt idx="3">
                  <c:v>WA</c:v>
                </c:pt>
                <c:pt idx="4">
                  <c:v>NSW</c:v>
                </c:pt>
                <c:pt idx="5">
                  <c:v>Vic</c:v>
                </c:pt>
                <c:pt idx="6">
                  <c:v>NT</c:v>
                </c:pt>
                <c:pt idx="7">
                  <c:v>Qld</c:v>
                </c:pt>
                <c:pt idx="8">
                  <c:v>Comcare</c:v>
                </c:pt>
                <c:pt idx="9">
                  <c:v>Aus Av</c:v>
                </c:pt>
                <c:pt idx="10">
                  <c:v>NZ</c:v>
                </c:pt>
              </c:strCache>
            </c:strRef>
          </c:cat>
          <c:val>
            <c:numRef>
              <c:f>'Jurisdiction (for pub)'!$D$5:$D$15</c:f>
              <c:numCache>
                <c:formatCode>0.00</c:formatCode>
                <c:ptCount val="11"/>
                <c:pt idx="0">
                  <c:v>1.6728816788390288</c:v>
                </c:pt>
                <c:pt idx="1">
                  <c:v>1.6099803161491579</c:v>
                </c:pt>
                <c:pt idx="2">
                  <c:v>1.6782791053854111</c:v>
                </c:pt>
                <c:pt idx="3">
                  <c:v>1.3097872895942915</c:v>
                </c:pt>
                <c:pt idx="4">
                  <c:v>1.411669436719313</c:v>
                </c:pt>
                <c:pt idx="5">
                  <c:v>1.3533839827343292</c:v>
                </c:pt>
                <c:pt idx="6">
                  <c:v>1.5377484809749338</c:v>
                </c:pt>
                <c:pt idx="7">
                  <c:v>1.1438285488415687</c:v>
                </c:pt>
                <c:pt idx="8">
                  <c:v>0.8236182100305196</c:v>
                </c:pt>
                <c:pt idx="9">
                  <c:v>1.3321187216216119</c:v>
                </c:pt>
                <c:pt idx="10">
                  <c:v>0.56917799811215386</c:v>
                </c:pt>
              </c:numCache>
            </c:numRef>
          </c:val>
          <c:extLst>
            <c:ext xmlns:c16="http://schemas.microsoft.com/office/drawing/2014/chart" uri="{C3380CC4-5D6E-409C-BE32-E72D297353CC}">
              <c16:uniqueId val="{00000001-5117-402E-A59B-16D0B95774CE}"/>
            </c:ext>
          </c:extLst>
        </c:ser>
        <c:ser>
          <c:idx val="1"/>
          <c:order val="2"/>
          <c:tx>
            <c:strRef>
              <c:f>'Jurisdiction (for pub)'!$E$4</c:f>
              <c:strCache>
                <c:ptCount val="1"/>
                <c:pt idx="0">
                  <c:v>2019-20</c:v>
                </c:pt>
              </c:strCache>
            </c:strRef>
          </c:tx>
          <c:spPr>
            <a:solidFill>
              <a:srgbClr val="595A5C"/>
            </a:solidFill>
            <a:ln w="6350">
              <a:solidFill>
                <a:srgbClr val="000000"/>
              </a:solidFill>
            </a:ln>
          </c:spPr>
          <c:invertIfNegative val="0"/>
          <c:cat>
            <c:strRef>
              <c:f>'Jurisdiction (for pub)'!$A$5:$A$15</c:f>
              <c:strCache>
                <c:ptCount val="11"/>
                <c:pt idx="0">
                  <c:v>Tas</c:v>
                </c:pt>
                <c:pt idx="1">
                  <c:v>ACT Private</c:v>
                </c:pt>
                <c:pt idx="2">
                  <c:v>SA</c:v>
                </c:pt>
                <c:pt idx="3">
                  <c:v>WA</c:v>
                </c:pt>
                <c:pt idx="4">
                  <c:v>NSW</c:v>
                </c:pt>
                <c:pt idx="5">
                  <c:v>Vic</c:v>
                </c:pt>
                <c:pt idx="6">
                  <c:v>NT</c:v>
                </c:pt>
                <c:pt idx="7">
                  <c:v>Qld</c:v>
                </c:pt>
                <c:pt idx="8">
                  <c:v>Comcare</c:v>
                </c:pt>
                <c:pt idx="9">
                  <c:v>Aus Av</c:v>
                </c:pt>
                <c:pt idx="10">
                  <c:v>NZ</c:v>
                </c:pt>
              </c:strCache>
            </c:strRef>
          </c:cat>
          <c:val>
            <c:numRef>
              <c:f>'Jurisdiction (for pub)'!$E$5:$E$15</c:f>
              <c:numCache>
                <c:formatCode>0.00</c:formatCode>
                <c:ptCount val="11"/>
                <c:pt idx="0">
                  <c:v>1.6726571847929983</c:v>
                </c:pt>
                <c:pt idx="1">
                  <c:v>1.5983160330206085</c:v>
                </c:pt>
                <c:pt idx="2">
                  <c:v>1.6309299675789886</c:v>
                </c:pt>
                <c:pt idx="3">
                  <c:v>1.3085948702611336</c:v>
                </c:pt>
                <c:pt idx="4">
                  <c:v>1.424125199756163</c:v>
                </c:pt>
                <c:pt idx="5">
                  <c:v>1.3350935051620971</c:v>
                </c:pt>
                <c:pt idx="6">
                  <c:v>1.4509304777538554</c:v>
                </c:pt>
                <c:pt idx="7">
                  <c:v>1.1466202458807093</c:v>
                </c:pt>
                <c:pt idx="8">
                  <c:v>0.73864583971123488</c:v>
                </c:pt>
                <c:pt idx="9">
                  <c:v>1.3251196227154707</c:v>
                </c:pt>
                <c:pt idx="10">
                  <c:v>0.5463434953511549</c:v>
                </c:pt>
              </c:numCache>
            </c:numRef>
          </c:val>
          <c:extLst>
            <c:ext xmlns:c16="http://schemas.microsoft.com/office/drawing/2014/chart" uri="{C3380CC4-5D6E-409C-BE32-E72D297353CC}">
              <c16:uniqueId val="{00000002-5117-402E-A59B-16D0B95774CE}"/>
            </c:ext>
          </c:extLst>
        </c:ser>
        <c:ser>
          <c:idx val="2"/>
          <c:order val="3"/>
          <c:tx>
            <c:strRef>
              <c:f>'Jurisdiction (for pub)'!$F$4</c:f>
              <c:strCache>
                <c:ptCount val="1"/>
                <c:pt idx="0">
                  <c:v>2020-21</c:v>
                </c:pt>
              </c:strCache>
            </c:strRef>
          </c:tx>
          <c:spPr>
            <a:solidFill>
              <a:srgbClr val="3C3C3E"/>
            </a:solidFill>
            <a:ln w="6350">
              <a:solidFill>
                <a:srgbClr val="000000"/>
              </a:solidFill>
            </a:ln>
          </c:spPr>
          <c:invertIfNegative val="0"/>
          <c:cat>
            <c:strRef>
              <c:f>'Jurisdiction (for pub)'!$A$5:$A$15</c:f>
              <c:strCache>
                <c:ptCount val="11"/>
                <c:pt idx="0">
                  <c:v>Tas</c:v>
                </c:pt>
                <c:pt idx="1">
                  <c:v>ACT Private</c:v>
                </c:pt>
                <c:pt idx="2">
                  <c:v>SA</c:v>
                </c:pt>
                <c:pt idx="3">
                  <c:v>WA</c:v>
                </c:pt>
                <c:pt idx="4">
                  <c:v>NSW</c:v>
                </c:pt>
                <c:pt idx="5">
                  <c:v>Vic</c:v>
                </c:pt>
                <c:pt idx="6">
                  <c:v>NT</c:v>
                </c:pt>
                <c:pt idx="7">
                  <c:v>Qld</c:v>
                </c:pt>
                <c:pt idx="8">
                  <c:v>Comcare</c:v>
                </c:pt>
                <c:pt idx="9">
                  <c:v>Aus Av</c:v>
                </c:pt>
                <c:pt idx="10">
                  <c:v>NZ</c:v>
                </c:pt>
              </c:strCache>
            </c:strRef>
          </c:cat>
          <c:val>
            <c:numRef>
              <c:f>'Jurisdiction (for pub)'!$F$5:$F$15</c:f>
              <c:numCache>
                <c:formatCode>0.00</c:formatCode>
                <c:ptCount val="11"/>
                <c:pt idx="0">
                  <c:v>1.747180274080993</c:v>
                </c:pt>
                <c:pt idx="1">
                  <c:v>1.6029371317155785</c:v>
                </c:pt>
                <c:pt idx="2">
                  <c:v>1.5747831987263154</c:v>
                </c:pt>
                <c:pt idx="3">
                  <c:v>1.4004640325652871</c:v>
                </c:pt>
                <c:pt idx="4">
                  <c:v>1.4667593240036902</c:v>
                </c:pt>
                <c:pt idx="5">
                  <c:v>1.3161557189098281</c:v>
                </c:pt>
                <c:pt idx="6">
                  <c:v>1.365750990928986</c:v>
                </c:pt>
                <c:pt idx="7">
                  <c:v>1.1494888448010894</c:v>
                </c:pt>
                <c:pt idx="8">
                  <c:v>0.75568132200777727</c:v>
                </c:pt>
                <c:pt idx="9">
                  <c:v>1.3442892355695184</c:v>
                </c:pt>
                <c:pt idx="10">
                  <c:v>0.53740658711634159</c:v>
                </c:pt>
              </c:numCache>
            </c:numRef>
          </c:val>
          <c:extLst>
            <c:ext xmlns:c16="http://schemas.microsoft.com/office/drawing/2014/chart" uri="{C3380CC4-5D6E-409C-BE32-E72D297353CC}">
              <c16:uniqueId val="{00000003-5117-402E-A59B-16D0B95774CE}"/>
            </c:ext>
          </c:extLst>
        </c:ser>
        <c:ser>
          <c:idx val="3"/>
          <c:order val="4"/>
          <c:tx>
            <c:strRef>
              <c:f>'Jurisdiction (for pub)'!$G$4</c:f>
              <c:strCache>
                <c:ptCount val="1"/>
                <c:pt idx="0">
                  <c:v>2021-22</c:v>
                </c:pt>
              </c:strCache>
            </c:strRef>
          </c:tx>
          <c:spPr>
            <a:solidFill>
              <a:srgbClr val="C10A27"/>
            </a:solidFill>
            <a:ln w="6350">
              <a:solidFill>
                <a:srgbClr val="000000"/>
              </a:solidFill>
              <a:prstDash val="solid"/>
            </a:ln>
          </c:spPr>
          <c:invertIfNegative val="0"/>
          <c:cat>
            <c:strRef>
              <c:f>'Jurisdiction (for pub)'!$A$5:$A$15</c:f>
              <c:strCache>
                <c:ptCount val="11"/>
                <c:pt idx="0">
                  <c:v>Tas</c:v>
                </c:pt>
                <c:pt idx="1">
                  <c:v>ACT Private</c:v>
                </c:pt>
                <c:pt idx="2">
                  <c:v>SA</c:v>
                </c:pt>
                <c:pt idx="3">
                  <c:v>WA</c:v>
                </c:pt>
                <c:pt idx="4">
                  <c:v>NSW</c:v>
                </c:pt>
                <c:pt idx="5">
                  <c:v>Vic</c:v>
                </c:pt>
                <c:pt idx="6">
                  <c:v>NT</c:v>
                </c:pt>
                <c:pt idx="7">
                  <c:v>Qld</c:v>
                </c:pt>
                <c:pt idx="8">
                  <c:v>Comcare</c:v>
                </c:pt>
                <c:pt idx="9">
                  <c:v>Aus Av</c:v>
                </c:pt>
                <c:pt idx="10">
                  <c:v>NZ</c:v>
                </c:pt>
              </c:strCache>
            </c:strRef>
          </c:cat>
          <c:val>
            <c:numRef>
              <c:f>'Jurisdiction (for pub)'!$G$5:$G$15</c:f>
              <c:numCache>
                <c:formatCode>0.00</c:formatCode>
                <c:ptCount val="11"/>
                <c:pt idx="0">
                  <c:v>1.924736263429164</c:v>
                </c:pt>
                <c:pt idx="1">
                  <c:v>1.6150350693458653</c:v>
                </c:pt>
                <c:pt idx="2">
                  <c:v>1.5981556762450551</c:v>
                </c:pt>
                <c:pt idx="3">
                  <c:v>1.4518663230675277</c:v>
                </c:pt>
                <c:pt idx="4">
                  <c:v>1.4500081690439057</c:v>
                </c:pt>
                <c:pt idx="5">
                  <c:v>1.3052402041476727</c:v>
                </c:pt>
                <c:pt idx="6">
                  <c:v>1.2876803801111185</c:v>
                </c:pt>
                <c:pt idx="7">
                  <c:v>1.1528492921019726</c:v>
                </c:pt>
                <c:pt idx="8">
                  <c:v>0.70479910237376087</c:v>
                </c:pt>
                <c:pt idx="9">
                  <c:v>1.3433976126189096</c:v>
                </c:pt>
                <c:pt idx="10">
                  <c:v>0.53048058156099231</c:v>
                </c:pt>
              </c:numCache>
            </c:numRef>
          </c:val>
          <c:extLst>
            <c:ext xmlns:c16="http://schemas.microsoft.com/office/drawing/2014/chart" uri="{C3380CC4-5D6E-409C-BE32-E72D297353CC}">
              <c16:uniqueId val="{00000004-5117-402E-A59B-16D0B95774CE}"/>
            </c:ext>
          </c:extLst>
        </c:ser>
        <c:dLbls>
          <c:showLegendKey val="0"/>
          <c:showVal val="0"/>
          <c:showCatName val="0"/>
          <c:showSerName val="0"/>
          <c:showPercent val="0"/>
          <c:showBubbleSize val="0"/>
        </c:dLbls>
        <c:gapWidth val="150"/>
        <c:axId val="262055808"/>
        <c:axId val="2494464"/>
      </c:barChart>
      <c:lineChart>
        <c:grouping val="standard"/>
        <c:varyColors val="0"/>
        <c:ser>
          <c:idx val="4"/>
          <c:order val="5"/>
          <c:tx>
            <c:strRef>
              <c:f>'Jurisdiction (for pub)'!$H$4</c:f>
              <c:strCache>
                <c:ptCount val="1"/>
                <c:pt idx="0">
                  <c:v>2021-22 Aus av</c:v>
                </c:pt>
              </c:strCache>
            </c:strRef>
          </c:tx>
          <c:spPr>
            <a:ln w="25400">
              <a:solidFill>
                <a:srgbClr val="C10A27"/>
              </a:solidFill>
              <a:prstDash val="solid"/>
            </a:ln>
          </c:spPr>
          <c:marker>
            <c:symbol val="none"/>
          </c:marker>
          <c:cat>
            <c:strRef>
              <c:f>'Jurisdiction (for pub)'!$B$5:$B$15</c:f>
              <c:strCache>
                <c:ptCount val="11"/>
                <c:pt idx="0">
                  <c:v>Tas</c:v>
                </c:pt>
                <c:pt idx="1">
                  <c:v>ACT Private</c:v>
                </c:pt>
                <c:pt idx="2">
                  <c:v>SA</c:v>
                </c:pt>
                <c:pt idx="3">
                  <c:v>WA</c:v>
                </c:pt>
                <c:pt idx="4">
                  <c:v>NSW</c:v>
                </c:pt>
                <c:pt idx="5">
                  <c:v>Vic</c:v>
                </c:pt>
                <c:pt idx="6">
                  <c:v>NT</c:v>
                </c:pt>
                <c:pt idx="7">
                  <c:v>Qld</c:v>
                </c:pt>
                <c:pt idx="8">
                  <c:v>Aus Gov</c:v>
                </c:pt>
                <c:pt idx="9">
                  <c:v>Aus Av</c:v>
                </c:pt>
                <c:pt idx="10">
                  <c:v>NZ</c:v>
                </c:pt>
              </c:strCache>
            </c:strRef>
          </c:cat>
          <c:val>
            <c:numRef>
              <c:f>'Jurisdiction (for pub)'!$H$5:$H$15</c:f>
              <c:numCache>
                <c:formatCode>0.00</c:formatCode>
                <c:ptCount val="11"/>
                <c:pt idx="0">
                  <c:v>1.3433976126189096</c:v>
                </c:pt>
                <c:pt idx="1">
                  <c:v>1.3433976126189096</c:v>
                </c:pt>
                <c:pt idx="2">
                  <c:v>1.3433976126189096</c:v>
                </c:pt>
                <c:pt idx="3">
                  <c:v>1.3433976126189096</c:v>
                </c:pt>
                <c:pt idx="4">
                  <c:v>1.3433976126189096</c:v>
                </c:pt>
                <c:pt idx="5">
                  <c:v>1.3433976126189096</c:v>
                </c:pt>
                <c:pt idx="6">
                  <c:v>1.3433976126189096</c:v>
                </c:pt>
                <c:pt idx="7">
                  <c:v>1.3433976126189096</c:v>
                </c:pt>
                <c:pt idx="8">
                  <c:v>1.3433976126189096</c:v>
                </c:pt>
              </c:numCache>
            </c:numRef>
          </c:val>
          <c:smooth val="0"/>
          <c:extLst>
            <c:ext xmlns:c16="http://schemas.microsoft.com/office/drawing/2014/chart" uri="{C3380CC4-5D6E-409C-BE32-E72D297353CC}">
              <c16:uniqueId val="{00000005-5117-402E-A59B-16D0B95774CE}"/>
            </c:ext>
          </c:extLst>
        </c:ser>
        <c:dLbls>
          <c:showLegendKey val="0"/>
          <c:showVal val="0"/>
          <c:showCatName val="0"/>
          <c:showSerName val="0"/>
          <c:showPercent val="0"/>
          <c:showBubbleSize val="0"/>
        </c:dLbls>
        <c:marker val="1"/>
        <c:smooth val="0"/>
        <c:axId val="262055808"/>
        <c:axId val="2494464"/>
      </c:lineChart>
      <c:catAx>
        <c:axId val="262055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494464"/>
        <c:crosses val="autoZero"/>
        <c:auto val="1"/>
        <c:lblAlgn val="ctr"/>
        <c:lblOffset val="100"/>
        <c:tickMarkSkip val="1"/>
        <c:noMultiLvlLbl val="0"/>
      </c:catAx>
      <c:valAx>
        <c:axId val="2494464"/>
        <c:scaling>
          <c:orientation val="minMax"/>
          <c:max val="2"/>
          <c:min val="0"/>
        </c:scaling>
        <c:delete val="0"/>
        <c:axPos val="l"/>
        <c:majorGridlines>
          <c:spPr>
            <a:ln w="3175">
              <a:solidFill>
                <a:srgbClr val="969696"/>
              </a:solidFill>
              <a:prstDash val="solid"/>
            </a:ln>
          </c:spPr>
        </c:majorGridlines>
        <c:title>
          <c:tx>
            <c:rich>
              <a:bodyPr/>
              <a:lstStyle/>
              <a:p>
                <a:pPr>
                  <a:defRPr sz="900" b="0" i="0" u="none" strike="noStrike" baseline="0">
                    <a:solidFill>
                      <a:srgbClr val="000000"/>
                    </a:solidFill>
                    <a:latin typeface="Arial"/>
                    <a:ea typeface="Arial"/>
                    <a:cs typeface="Arial"/>
                  </a:defRPr>
                </a:pPr>
                <a:r>
                  <a:rPr lang="en-AU" sz="900"/>
                  <a:t>% of payroll</a:t>
                </a:r>
              </a:p>
            </c:rich>
          </c:tx>
          <c:layout>
            <c:manualLayout>
              <c:xMode val="edge"/>
              <c:yMode val="edge"/>
              <c:x val="7.4521512200418596E-2"/>
              <c:y val="0.2371800088377817"/>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62055808"/>
        <c:crosses val="autoZero"/>
        <c:crossBetween val="between"/>
        <c:majorUnit val="0.25"/>
      </c:valAx>
      <c:dTable>
        <c:showHorzBorder val="0"/>
        <c:showVertBorder val="0"/>
        <c:showOutline val="0"/>
        <c:showKeys val="1"/>
        <c:spPr>
          <a:ln w="3175">
            <a:solidFill>
              <a:srgbClr val="000000"/>
            </a:solidFill>
            <a:prstDash val="solid"/>
          </a:ln>
        </c:spPr>
        <c:txPr>
          <a:bodyPr/>
          <a:lstStyle/>
          <a:p>
            <a:pPr rtl="0">
              <a:defRPr sz="700" b="0" i="0" u="none" strike="noStrike" baseline="0">
                <a:solidFill>
                  <a:srgbClr val="000000"/>
                </a:solidFill>
                <a:latin typeface="Arial"/>
                <a:ea typeface="Arial"/>
                <a:cs typeface="Arial"/>
              </a:defRPr>
            </a:pPr>
            <a:endParaRPr lang="en-US"/>
          </a:p>
        </c:txPr>
      </c:dTable>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8028940270927266E-2"/>
          <c:w val="0.7656060158896929"/>
          <c:h val="0.54438166559698342"/>
        </c:manualLayout>
      </c:layout>
      <c:barChart>
        <c:barDir val="col"/>
        <c:grouping val="clustered"/>
        <c:varyColors val="0"/>
        <c:ser>
          <c:idx val="6"/>
          <c:order val="0"/>
          <c:tx>
            <c:strRef>
              <c:f>'Jurisdiction by industry'!$C$145</c:f>
              <c:strCache>
                <c:ptCount val="1"/>
                <c:pt idx="0">
                  <c:v>2017-18</c:v>
                </c:pt>
              </c:strCache>
            </c:strRef>
          </c:tx>
          <c:spPr>
            <a:solidFill>
              <a:srgbClr val="D9D9D9"/>
            </a:solidFill>
            <a:ln w="6350">
              <a:solidFill>
                <a:srgbClr val="000000"/>
              </a:solidFill>
            </a:ln>
          </c:spPr>
          <c:invertIfNegative val="0"/>
          <c:cat>
            <c:strRef>
              <c:f>'Jurisdiction by industry'!$A$146:$A$156</c:f>
              <c:strCache>
                <c:ptCount val="11"/>
                <c:pt idx="0">
                  <c:v>ACT Private</c:v>
                </c:pt>
                <c:pt idx="1">
                  <c:v>NSW</c:v>
                </c:pt>
                <c:pt idx="2">
                  <c:v>NT</c:v>
                </c:pt>
                <c:pt idx="3">
                  <c:v>SA</c:v>
                </c:pt>
                <c:pt idx="4">
                  <c:v>WA</c:v>
                </c:pt>
                <c:pt idx="5">
                  <c:v>Comcare</c:v>
                </c:pt>
                <c:pt idx="6">
                  <c:v>Tas</c:v>
                </c:pt>
                <c:pt idx="7">
                  <c:v>Qld</c:v>
                </c:pt>
                <c:pt idx="8">
                  <c:v>Vic</c:v>
                </c:pt>
                <c:pt idx="9">
                  <c:v>Aus Av</c:v>
                </c:pt>
                <c:pt idx="10">
                  <c:v>NZ</c:v>
                </c:pt>
              </c:strCache>
            </c:strRef>
          </c:cat>
          <c:val>
            <c:numRef>
              <c:f>'Jurisdiction by industry'!$C$146:$C$156</c:f>
              <c:numCache>
                <c:formatCode>0.00</c:formatCode>
                <c:ptCount val="11"/>
                <c:pt idx="0">
                  <c:v>2.0518443574514609</c:v>
                </c:pt>
                <c:pt idx="1">
                  <c:v>1.8991151825607653</c:v>
                </c:pt>
                <c:pt idx="2">
                  <c:v>1.7844909216258829</c:v>
                </c:pt>
                <c:pt idx="3">
                  <c:v>1.8208762797539519</c:v>
                </c:pt>
                <c:pt idx="4">
                  <c:v>1.4688855647762931</c:v>
                </c:pt>
                <c:pt idx="5">
                  <c:v>2.6463190063696764</c:v>
                </c:pt>
                <c:pt idx="6">
                  <c:v>1.5106549059059982</c:v>
                </c:pt>
                <c:pt idx="7">
                  <c:v>1.3641169591647369</c:v>
                </c:pt>
                <c:pt idx="8">
                  <c:v>1.3345796825451193</c:v>
                </c:pt>
                <c:pt idx="9">
                  <c:v>1.6047764329962526</c:v>
                </c:pt>
                <c:pt idx="10">
                  <c:v>0.55846350652634558</c:v>
                </c:pt>
              </c:numCache>
            </c:numRef>
          </c:val>
          <c:extLst>
            <c:ext xmlns:c16="http://schemas.microsoft.com/office/drawing/2014/chart" uri="{C3380CC4-5D6E-409C-BE32-E72D297353CC}">
              <c16:uniqueId val="{00000000-ADC3-4B3B-BD5D-669DFA24F039}"/>
            </c:ext>
          </c:extLst>
        </c:ser>
        <c:ser>
          <c:idx val="0"/>
          <c:order val="1"/>
          <c:tx>
            <c:strRef>
              <c:f>'Jurisdiction by industry'!$D$145</c:f>
              <c:strCache>
                <c:ptCount val="1"/>
                <c:pt idx="0">
                  <c:v>2018-19</c:v>
                </c:pt>
              </c:strCache>
            </c:strRef>
          </c:tx>
          <c:spPr>
            <a:solidFill>
              <a:srgbClr val="A6A6A6"/>
            </a:solidFill>
            <a:ln w="6350">
              <a:solidFill>
                <a:srgbClr val="000000"/>
              </a:solidFill>
            </a:ln>
          </c:spPr>
          <c:invertIfNegative val="0"/>
          <c:cat>
            <c:strRef>
              <c:f>'Jurisdiction by industry'!$A$146:$A$156</c:f>
              <c:strCache>
                <c:ptCount val="11"/>
                <c:pt idx="0">
                  <c:v>ACT Private</c:v>
                </c:pt>
                <c:pt idx="1">
                  <c:v>NSW</c:v>
                </c:pt>
                <c:pt idx="2">
                  <c:v>NT</c:v>
                </c:pt>
                <c:pt idx="3">
                  <c:v>SA</c:v>
                </c:pt>
                <c:pt idx="4">
                  <c:v>WA</c:v>
                </c:pt>
                <c:pt idx="5">
                  <c:v>Comcare</c:v>
                </c:pt>
                <c:pt idx="6">
                  <c:v>Tas</c:v>
                </c:pt>
                <c:pt idx="7">
                  <c:v>Qld</c:v>
                </c:pt>
                <c:pt idx="8">
                  <c:v>Vic</c:v>
                </c:pt>
                <c:pt idx="9">
                  <c:v>Aus Av</c:v>
                </c:pt>
                <c:pt idx="10">
                  <c:v>NZ</c:v>
                </c:pt>
              </c:strCache>
            </c:strRef>
          </c:cat>
          <c:val>
            <c:numRef>
              <c:f>'Jurisdiction by industry'!$D$146:$D$156</c:f>
              <c:numCache>
                <c:formatCode>0.00</c:formatCode>
                <c:ptCount val="11"/>
                <c:pt idx="0">
                  <c:v>2.0607995070041842</c:v>
                </c:pt>
                <c:pt idx="1">
                  <c:v>1.9155070436304364</c:v>
                </c:pt>
                <c:pt idx="2">
                  <c:v>1.887718506723393</c:v>
                </c:pt>
                <c:pt idx="3">
                  <c:v>1.6314119641352449</c:v>
                </c:pt>
                <c:pt idx="4">
                  <c:v>1.5905729681622141</c:v>
                </c:pt>
                <c:pt idx="5">
                  <c:v>1.8058141544026314</c:v>
                </c:pt>
                <c:pt idx="6">
                  <c:v>1.4917365915241478</c:v>
                </c:pt>
                <c:pt idx="7">
                  <c:v>1.3452277659877203</c:v>
                </c:pt>
                <c:pt idx="8">
                  <c:v>1.3376673429980255</c:v>
                </c:pt>
                <c:pt idx="9">
                  <c:v>1.6063001668254091</c:v>
                </c:pt>
                <c:pt idx="10">
                  <c:v>0.54330100821920446</c:v>
                </c:pt>
              </c:numCache>
            </c:numRef>
          </c:val>
          <c:extLst>
            <c:ext xmlns:c16="http://schemas.microsoft.com/office/drawing/2014/chart" uri="{C3380CC4-5D6E-409C-BE32-E72D297353CC}">
              <c16:uniqueId val="{00000001-ADC3-4B3B-BD5D-669DFA24F039}"/>
            </c:ext>
          </c:extLst>
        </c:ser>
        <c:ser>
          <c:idx val="1"/>
          <c:order val="2"/>
          <c:tx>
            <c:strRef>
              <c:f>'Jurisdiction by industry'!$E$145</c:f>
              <c:strCache>
                <c:ptCount val="1"/>
                <c:pt idx="0">
                  <c:v>2019-20</c:v>
                </c:pt>
              </c:strCache>
            </c:strRef>
          </c:tx>
          <c:spPr>
            <a:solidFill>
              <a:srgbClr val="595A5C"/>
            </a:solidFill>
            <a:ln w="6350">
              <a:solidFill>
                <a:srgbClr val="000000"/>
              </a:solidFill>
            </a:ln>
          </c:spPr>
          <c:invertIfNegative val="0"/>
          <c:cat>
            <c:strRef>
              <c:f>'Jurisdiction by industry'!$A$146:$A$156</c:f>
              <c:strCache>
                <c:ptCount val="11"/>
                <c:pt idx="0">
                  <c:v>ACT Private</c:v>
                </c:pt>
                <c:pt idx="1">
                  <c:v>NSW</c:v>
                </c:pt>
                <c:pt idx="2">
                  <c:v>NT</c:v>
                </c:pt>
                <c:pt idx="3">
                  <c:v>SA</c:v>
                </c:pt>
                <c:pt idx="4">
                  <c:v>WA</c:v>
                </c:pt>
                <c:pt idx="5">
                  <c:v>Comcare</c:v>
                </c:pt>
                <c:pt idx="6">
                  <c:v>Tas</c:v>
                </c:pt>
                <c:pt idx="7">
                  <c:v>Qld</c:v>
                </c:pt>
                <c:pt idx="8">
                  <c:v>Vic</c:v>
                </c:pt>
                <c:pt idx="9">
                  <c:v>Aus Av</c:v>
                </c:pt>
                <c:pt idx="10">
                  <c:v>NZ</c:v>
                </c:pt>
              </c:strCache>
            </c:strRef>
          </c:cat>
          <c:val>
            <c:numRef>
              <c:f>'Jurisdiction by industry'!$E$146:$E$156</c:f>
              <c:numCache>
                <c:formatCode>0.00</c:formatCode>
                <c:ptCount val="11"/>
                <c:pt idx="0">
                  <c:v>2.0607534870654023</c:v>
                </c:pt>
                <c:pt idx="1">
                  <c:v>1.9067019148480067</c:v>
                </c:pt>
                <c:pt idx="2">
                  <c:v>1.8341058723766439</c:v>
                </c:pt>
                <c:pt idx="3">
                  <c:v>1.5764394387603913</c:v>
                </c:pt>
                <c:pt idx="4">
                  <c:v>1.6087188850280927</c:v>
                </c:pt>
                <c:pt idx="5">
                  <c:v>1.4027030097140374</c:v>
                </c:pt>
                <c:pt idx="6">
                  <c:v>1.4585501441167845</c:v>
                </c:pt>
                <c:pt idx="7">
                  <c:v>1.3323976868834559</c:v>
                </c:pt>
                <c:pt idx="8">
                  <c:v>1.2141939563542192</c:v>
                </c:pt>
                <c:pt idx="9">
                  <c:v>1.5625395224414653</c:v>
                </c:pt>
                <c:pt idx="10">
                  <c:v>0.49149076984077594</c:v>
                </c:pt>
              </c:numCache>
            </c:numRef>
          </c:val>
          <c:extLst>
            <c:ext xmlns:c16="http://schemas.microsoft.com/office/drawing/2014/chart" uri="{C3380CC4-5D6E-409C-BE32-E72D297353CC}">
              <c16:uniqueId val="{00000002-ADC3-4B3B-BD5D-669DFA24F039}"/>
            </c:ext>
          </c:extLst>
        </c:ser>
        <c:ser>
          <c:idx val="2"/>
          <c:order val="3"/>
          <c:tx>
            <c:strRef>
              <c:f>'Jurisdiction by industry'!$F$145</c:f>
              <c:strCache>
                <c:ptCount val="1"/>
                <c:pt idx="0">
                  <c:v>2020-21</c:v>
                </c:pt>
              </c:strCache>
            </c:strRef>
          </c:tx>
          <c:spPr>
            <a:solidFill>
              <a:srgbClr val="3C3C3E"/>
            </a:solidFill>
            <a:ln w="6350">
              <a:solidFill>
                <a:srgbClr val="000000"/>
              </a:solidFill>
            </a:ln>
          </c:spPr>
          <c:invertIfNegative val="0"/>
          <c:cat>
            <c:strRef>
              <c:f>'Jurisdiction by industry'!$A$146:$A$156</c:f>
              <c:strCache>
                <c:ptCount val="11"/>
                <c:pt idx="0">
                  <c:v>ACT Private</c:v>
                </c:pt>
                <c:pt idx="1">
                  <c:v>NSW</c:v>
                </c:pt>
                <c:pt idx="2">
                  <c:v>NT</c:v>
                </c:pt>
                <c:pt idx="3">
                  <c:v>SA</c:v>
                </c:pt>
                <c:pt idx="4">
                  <c:v>WA</c:v>
                </c:pt>
                <c:pt idx="5">
                  <c:v>Comcare</c:v>
                </c:pt>
                <c:pt idx="6">
                  <c:v>Tas</c:v>
                </c:pt>
                <c:pt idx="7">
                  <c:v>Qld</c:v>
                </c:pt>
                <c:pt idx="8">
                  <c:v>Vic</c:v>
                </c:pt>
                <c:pt idx="9">
                  <c:v>Aus Av</c:v>
                </c:pt>
                <c:pt idx="10">
                  <c:v>NZ</c:v>
                </c:pt>
              </c:strCache>
            </c:strRef>
          </c:cat>
          <c:val>
            <c:numRef>
              <c:f>'Jurisdiction by industry'!$F$146:$F$156</c:f>
              <c:numCache>
                <c:formatCode>0.00</c:formatCode>
                <c:ptCount val="11"/>
                <c:pt idx="0">
                  <c:v>2.0588594455608651</c:v>
                </c:pt>
                <c:pt idx="1">
                  <c:v>1.9454951486181828</c:v>
                </c:pt>
                <c:pt idx="2">
                  <c:v>1.7556108292379036</c:v>
                </c:pt>
                <c:pt idx="3">
                  <c:v>1.5161941415614681</c:v>
                </c:pt>
                <c:pt idx="4">
                  <c:v>1.4481371568393004</c:v>
                </c:pt>
                <c:pt idx="5">
                  <c:v>1.6406316583272691</c:v>
                </c:pt>
                <c:pt idx="6">
                  <c:v>1.3973038812855505</c:v>
                </c:pt>
                <c:pt idx="7">
                  <c:v>1.2770560391912067</c:v>
                </c:pt>
                <c:pt idx="8">
                  <c:v>1.1379255471410239</c:v>
                </c:pt>
                <c:pt idx="9">
                  <c:v>1.5309672113594803</c:v>
                </c:pt>
                <c:pt idx="10">
                  <c:v>0.48555465232347955</c:v>
                </c:pt>
              </c:numCache>
            </c:numRef>
          </c:val>
          <c:extLst>
            <c:ext xmlns:c16="http://schemas.microsoft.com/office/drawing/2014/chart" uri="{C3380CC4-5D6E-409C-BE32-E72D297353CC}">
              <c16:uniqueId val="{00000003-ADC3-4B3B-BD5D-669DFA24F039}"/>
            </c:ext>
          </c:extLst>
        </c:ser>
        <c:ser>
          <c:idx val="3"/>
          <c:order val="4"/>
          <c:tx>
            <c:strRef>
              <c:f>'Jurisdiction by industry'!$G$145</c:f>
              <c:strCache>
                <c:ptCount val="1"/>
                <c:pt idx="0">
                  <c:v>2021-22</c:v>
                </c:pt>
              </c:strCache>
            </c:strRef>
          </c:tx>
          <c:spPr>
            <a:solidFill>
              <a:srgbClr val="C10A27"/>
            </a:solidFill>
            <a:ln w="6350">
              <a:solidFill>
                <a:srgbClr val="000000"/>
              </a:solidFill>
              <a:prstDash val="solid"/>
            </a:ln>
          </c:spPr>
          <c:invertIfNegative val="0"/>
          <c:cat>
            <c:strRef>
              <c:f>'Jurisdiction by industry'!$A$146:$A$156</c:f>
              <c:strCache>
                <c:ptCount val="11"/>
                <c:pt idx="0">
                  <c:v>ACT Private</c:v>
                </c:pt>
                <c:pt idx="1">
                  <c:v>NSW</c:v>
                </c:pt>
                <c:pt idx="2">
                  <c:v>NT</c:v>
                </c:pt>
                <c:pt idx="3">
                  <c:v>SA</c:v>
                </c:pt>
                <c:pt idx="4">
                  <c:v>WA</c:v>
                </c:pt>
                <c:pt idx="5">
                  <c:v>Comcare</c:v>
                </c:pt>
                <c:pt idx="6">
                  <c:v>Tas</c:v>
                </c:pt>
                <c:pt idx="7">
                  <c:v>Qld</c:v>
                </c:pt>
                <c:pt idx="8">
                  <c:v>Vic</c:v>
                </c:pt>
                <c:pt idx="9">
                  <c:v>Aus Av</c:v>
                </c:pt>
                <c:pt idx="10">
                  <c:v>NZ</c:v>
                </c:pt>
              </c:strCache>
            </c:strRef>
          </c:cat>
          <c:val>
            <c:numRef>
              <c:f>'Jurisdiction by industry'!$G$146:$G$156</c:f>
              <c:numCache>
                <c:formatCode>0.00</c:formatCode>
                <c:ptCount val="11"/>
                <c:pt idx="0">
                  <c:v>2.1648511729427287</c:v>
                </c:pt>
                <c:pt idx="1">
                  <c:v>1.9513616978394839</c:v>
                </c:pt>
                <c:pt idx="2">
                  <c:v>1.8030481469373811</c:v>
                </c:pt>
                <c:pt idx="3">
                  <c:v>1.5227383272395898</c:v>
                </c:pt>
                <c:pt idx="4">
                  <c:v>1.499269497873724</c:v>
                </c:pt>
                <c:pt idx="5">
                  <c:v>1.4718531973758091</c:v>
                </c:pt>
                <c:pt idx="6">
                  <c:v>1.3781973324703638</c:v>
                </c:pt>
                <c:pt idx="7">
                  <c:v>1.212267211734805</c:v>
                </c:pt>
                <c:pt idx="8">
                  <c:v>1.1049869433588602</c:v>
                </c:pt>
                <c:pt idx="9">
                  <c:v>1.502673431227824</c:v>
                </c:pt>
                <c:pt idx="10">
                  <c:v>0.46827215331649941</c:v>
                </c:pt>
              </c:numCache>
            </c:numRef>
          </c:val>
          <c:extLst>
            <c:ext xmlns:c16="http://schemas.microsoft.com/office/drawing/2014/chart" uri="{C3380CC4-5D6E-409C-BE32-E72D297353CC}">
              <c16:uniqueId val="{00000004-ADC3-4B3B-BD5D-669DFA24F039}"/>
            </c:ext>
          </c:extLst>
        </c:ser>
        <c:dLbls>
          <c:showLegendKey val="0"/>
          <c:showVal val="0"/>
          <c:showCatName val="0"/>
          <c:showSerName val="0"/>
          <c:showPercent val="0"/>
          <c:showBubbleSize val="0"/>
        </c:dLbls>
        <c:gapWidth val="150"/>
        <c:axId val="221782784"/>
        <c:axId val="221784320"/>
      </c:barChart>
      <c:lineChart>
        <c:grouping val="standard"/>
        <c:varyColors val="0"/>
        <c:ser>
          <c:idx val="4"/>
          <c:order val="5"/>
          <c:tx>
            <c:strRef>
              <c:f>'Jurisdiction by industry'!$H$144</c:f>
              <c:strCache>
                <c:ptCount val="1"/>
                <c:pt idx="0">
                  <c:v>2021-22 Aus av</c:v>
                </c:pt>
              </c:strCache>
            </c:strRef>
          </c:tx>
          <c:spPr>
            <a:ln>
              <a:solidFill>
                <a:srgbClr val="C10A27"/>
              </a:solidFill>
            </a:ln>
          </c:spPr>
          <c:marker>
            <c:symbol val="none"/>
          </c:marker>
          <c:val>
            <c:numRef>
              <c:f>'Jurisdiction by industry'!$H$146:$H$156</c:f>
              <c:numCache>
                <c:formatCode>0.00</c:formatCode>
                <c:ptCount val="11"/>
                <c:pt idx="0">
                  <c:v>1.502673431227824</c:v>
                </c:pt>
                <c:pt idx="1">
                  <c:v>1.502673431227824</c:v>
                </c:pt>
                <c:pt idx="2">
                  <c:v>1.502673431227824</c:v>
                </c:pt>
                <c:pt idx="3">
                  <c:v>1.502673431227824</c:v>
                </c:pt>
                <c:pt idx="4">
                  <c:v>1.502673431227824</c:v>
                </c:pt>
                <c:pt idx="5">
                  <c:v>1.502673431227824</c:v>
                </c:pt>
                <c:pt idx="6">
                  <c:v>1.502673431227824</c:v>
                </c:pt>
                <c:pt idx="7">
                  <c:v>1.502673431227824</c:v>
                </c:pt>
                <c:pt idx="8">
                  <c:v>1.502673431227824</c:v>
                </c:pt>
              </c:numCache>
            </c:numRef>
          </c:val>
          <c:smooth val="0"/>
          <c:extLst>
            <c:ext xmlns:c16="http://schemas.microsoft.com/office/drawing/2014/chart" uri="{C3380CC4-5D6E-409C-BE32-E72D297353CC}">
              <c16:uniqueId val="{00000005-ADC3-4B3B-BD5D-669DFA24F039}"/>
            </c:ext>
          </c:extLst>
        </c:ser>
        <c:dLbls>
          <c:showLegendKey val="0"/>
          <c:showVal val="0"/>
          <c:showCatName val="0"/>
          <c:showSerName val="0"/>
          <c:showPercent val="0"/>
          <c:showBubbleSize val="0"/>
        </c:dLbls>
        <c:marker val="1"/>
        <c:smooth val="0"/>
        <c:axId val="221782784"/>
        <c:axId val="221784320"/>
      </c:lineChart>
      <c:catAx>
        <c:axId val="2217827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784320"/>
        <c:crosses val="autoZero"/>
        <c:auto val="1"/>
        <c:lblAlgn val="ctr"/>
        <c:lblOffset val="100"/>
        <c:tickMarkSkip val="1"/>
        <c:noMultiLvlLbl val="0"/>
      </c:catAx>
      <c:valAx>
        <c:axId val="221784320"/>
        <c:scaling>
          <c:orientation val="minMax"/>
          <c:max val="3"/>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59625140231E-2"/>
              <c:y val="0.2052454241055657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782784"/>
        <c:crosses val="autoZero"/>
        <c:crossBetween val="between"/>
        <c:majorUnit val="1"/>
      </c:valAx>
      <c:dTable>
        <c:showHorzBorder val="0"/>
        <c:showVertBorder val="0"/>
        <c:showOutline val="0"/>
        <c:showKeys val="1"/>
        <c:txPr>
          <a:bodyPr/>
          <a:lstStyle/>
          <a:p>
            <a:pPr rtl="0">
              <a:defRPr sz="800"/>
            </a:pPr>
            <a:endParaRPr lang="en-US"/>
          </a:p>
        </c:txPr>
      </c:dTable>
      <c:spPr>
        <a:noFill/>
        <a:ln w="3175">
          <a:solidFill>
            <a:srgbClr val="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4868007391430251E-2"/>
          <c:w val="0.7656060158896929"/>
          <c:h val="0.56006348682800899"/>
        </c:manualLayout>
      </c:layout>
      <c:barChart>
        <c:barDir val="col"/>
        <c:grouping val="clustered"/>
        <c:varyColors val="0"/>
        <c:ser>
          <c:idx val="6"/>
          <c:order val="0"/>
          <c:tx>
            <c:strRef>
              <c:f>'Jurisdiction by industry'!$C$164</c:f>
              <c:strCache>
                <c:ptCount val="1"/>
                <c:pt idx="0">
                  <c:v>2017-18</c:v>
                </c:pt>
              </c:strCache>
            </c:strRef>
          </c:tx>
          <c:spPr>
            <a:solidFill>
              <a:srgbClr val="D9D9D9"/>
            </a:solidFill>
            <a:ln w="6350">
              <a:solidFill>
                <a:sysClr val="windowText" lastClr="000000"/>
              </a:solidFill>
            </a:ln>
          </c:spPr>
          <c:invertIfNegative val="0"/>
          <c:cat>
            <c:strRef>
              <c:f>'Jurisdiction by industry'!$A$165:$A$175</c:f>
              <c:strCache>
                <c:ptCount val="11"/>
                <c:pt idx="0">
                  <c:v>ACT Private</c:v>
                </c:pt>
                <c:pt idx="1">
                  <c:v>SA</c:v>
                </c:pt>
                <c:pt idx="2">
                  <c:v>NSW</c:v>
                </c:pt>
                <c:pt idx="3">
                  <c:v>Tas</c:v>
                </c:pt>
                <c:pt idx="4">
                  <c:v>NT</c:v>
                </c:pt>
                <c:pt idx="5">
                  <c:v>Qld</c:v>
                </c:pt>
                <c:pt idx="6">
                  <c:v>WA</c:v>
                </c:pt>
                <c:pt idx="7">
                  <c:v>Vic</c:v>
                </c:pt>
                <c:pt idx="8">
                  <c:v>Comcare</c:v>
                </c:pt>
                <c:pt idx="9">
                  <c:v>Aus Av</c:v>
                </c:pt>
                <c:pt idx="10">
                  <c:v>NZ</c:v>
                </c:pt>
              </c:strCache>
            </c:strRef>
          </c:cat>
          <c:val>
            <c:numRef>
              <c:f>'Jurisdiction by industry'!$C$165:$C$175</c:f>
              <c:numCache>
                <c:formatCode>0.00</c:formatCode>
                <c:ptCount val="11"/>
                <c:pt idx="0">
                  <c:v>4.6221615754827683</c:v>
                </c:pt>
                <c:pt idx="1">
                  <c:v>3.4217358405083926</c:v>
                </c:pt>
                <c:pt idx="2">
                  <c:v>2.6438596592014538</c:v>
                </c:pt>
                <c:pt idx="3">
                  <c:v>2.2161029079244594</c:v>
                </c:pt>
                <c:pt idx="4">
                  <c:v>2.5818077729115627</c:v>
                </c:pt>
                <c:pt idx="5">
                  <c:v>2.2836860723510135</c:v>
                </c:pt>
                <c:pt idx="6">
                  <c:v>1.8712169127878888</c:v>
                </c:pt>
                <c:pt idx="7">
                  <c:v>2.4753015904821112</c:v>
                </c:pt>
                <c:pt idx="8">
                  <c:v>1.5353589299737516</c:v>
                </c:pt>
                <c:pt idx="9">
                  <c:v>2.3224077004740775</c:v>
                </c:pt>
                <c:pt idx="10">
                  <c:v>0.96647831202966228</c:v>
                </c:pt>
              </c:numCache>
            </c:numRef>
          </c:val>
          <c:extLst>
            <c:ext xmlns:c16="http://schemas.microsoft.com/office/drawing/2014/chart" uri="{C3380CC4-5D6E-409C-BE32-E72D297353CC}">
              <c16:uniqueId val="{00000000-420E-480A-B99D-B9DDF467ADD1}"/>
            </c:ext>
          </c:extLst>
        </c:ser>
        <c:ser>
          <c:idx val="0"/>
          <c:order val="1"/>
          <c:tx>
            <c:strRef>
              <c:f>'Jurisdiction by industry'!$D$164</c:f>
              <c:strCache>
                <c:ptCount val="1"/>
                <c:pt idx="0">
                  <c:v>2018-19</c:v>
                </c:pt>
              </c:strCache>
            </c:strRef>
          </c:tx>
          <c:spPr>
            <a:solidFill>
              <a:srgbClr val="A6A6A6"/>
            </a:solidFill>
            <a:ln w="6350">
              <a:solidFill>
                <a:sysClr val="windowText" lastClr="000000"/>
              </a:solidFill>
            </a:ln>
          </c:spPr>
          <c:invertIfNegative val="0"/>
          <c:cat>
            <c:strRef>
              <c:f>'Jurisdiction by industry'!$A$165:$A$175</c:f>
              <c:strCache>
                <c:ptCount val="11"/>
                <c:pt idx="0">
                  <c:v>ACT Private</c:v>
                </c:pt>
                <c:pt idx="1">
                  <c:v>SA</c:v>
                </c:pt>
                <c:pt idx="2">
                  <c:v>NSW</c:v>
                </c:pt>
                <c:pt idx="3">
                  <c:v>Tas</c:v>
                </c:pt>
                <c:pt idx="4">
                  <c:v>NT</c:v>
                </c:pt>
                <c:pt idx="5">
                  <c:v>Qld</c:v>
                </c:pt>
                <c:pt idx="6">
                  <c:v>WA</c:v>
                </c:pt>
                <c:pt idx="7">
                  <c:v>Vic</c:v>
                </c:pt>
                <c:pt idx="8">
                  <c:v>Comcare</c:v>
                </c:pt>
                <c:pt idx="9">
                  <c:v>Aus Av</c:v>
                </c:pt>
                <c:pt idx="10">
                  <c:v>NZ</c:v>
                </c:pt>
              </c:strCache>
            </c:strRef>
          </c:cat>
          <c:val>
            <c:numRef>
              <c:f>'Jurisdiction by industry'!$D$165:$D$175</c:f>
              <c:numCache>
                <c:formatCode>0.00</c:formatCode>
                <c:ptCount val="11"/>
                <c:pt idx="0">
                  <c:v>4.4309886927321447</c:v>
                </c:pt>
                <c:pt idx="1">
                  <c:v>3.3446902949002819</c:v>
                </c:pt>
                <c:pt idx="2">
                  <c:v>2.8171995587864074</c:v>
                </c:pt>
                <c:pt idx="3">
                  <c:v>2.32343678620057</c:v>
                </c:pt>
                <c:pt idx="4">
                  <c:v>2.560486309137088</c:v>
                </c:pt>
                <c:pt idx="5">
                  <c:v>2.3421138032972215</c:v>
                </c:pt>
                <c:pt idx="6">
                  <c:v>2.1112347558435158</c:v>
                </c:pt>
                <c:pt idx="7">
                  <c:v>2.4590834819435243</c:v>
                </c:pt>
                <c:pt idx="8">
                  <c:v>1.8835883777352194</c:v>
                </c:pt>
                <c:pt idx="9">
                  <c:v>2.4504341284628945</c:v>
                </c:pt>
                <c:pt idx="10">
                  <c:v>1.0103176023940637</c:v>
                </c:pt>
              </c:numCache>
            </c:numRef>
          </c:val>
          <c:extLst>
            <c:ext xmlns:c16="http://schemas.microsoft.com/office/drawing/2014/chart" uri="{C3380CC4-5D6E-409C-BE32-E72D297353CC}">
              <c16:uniqueId val="{00000001-420E-480A-B99D-B9DDF467ADD1}"/>
            </c:ext>
          </c:extLst>
        </c:ser>
        <c:ser>
          <c:idx val="1"/>
          <c:order val="2"/>
          <c:tx>
            <c:strRef>
              <c:f>'Jurisdiction by industry'!$E$164</c:f>
              <c:strCache>
                <c:ptCount val="1"/>
                <c:pt idx="0">
                  <c:v>2019-20</c:v>
                </c:pt>
              </c:strCache>
            </c:strRef>
          </c:tx>
          <c:spPr>
            <a:solidFill>
              <a:srgbClr val="595A5C"/>
            </a:solidFill>
            <a:ln w="6350">
              <a:solidFill>
                <a:sysClr val="windowText" lastClr="000000"/>
              </a:solidFill>
            </a:ln>
          </c:spPr>
          <c:invertIfNegative val="0"/>
          <c:cat>
            <c:strRef>
              <c:f>'Jurisdiction by industry'!$A$165:$A$175</c:f>
              <c:strCache>
                <c:ptCount val="11"/>
                <c:pt idx="0">
                  <c:v>ACT Private</c:v>
                </c:pt>
                <c:pt idx="1">
                  <c:v>SA</c:v>
                </c:pt>
                <c:pt idx="2">
                  <c:v>NSW</c:v>
                </c:pt>
                <c:pt idx="3">
                  <c:v>Tas</c:v>
                </c:pt>
                <c:pt idx="4">
                  <c:v>NT</c:v>
                </c:pt>
                <c:pt idx="5">
                  <c:v>Qld</c:v>
                </c:pt>
                <c:pt idx="6">
                  <c:v>WA</c:v>
                </c:pt>
                <c:pt idx="7">
                  <c:v>Vic</c:v>
                </c:pt>
                <c:pt idx="8">
                  <c:v>Comcare</c:v>
                </c:pt>
                <c:pt idx="9">
                  <c:v>Aus Av</c:v>
                </c:pt>
                <c:pt idx="10">
                  <c:v>NZ</c:v>
                </c:pt>
              </c:strCache>
            </c:strRef>
          </c:cat>
          <c:val>
            <c:numRef>
              <c:f>'Jurisdiction by industry'!$E$165:$E$175</c:f>
              <c:numCache>
                <c:formatCode>0.00</c:formatCode>
                <c:ptCount val="11"/>
                <c:pt idx="0">
                  <c:v>4.4315957045445007</c:v>
                </c:pt>
                <c:pt idx="1">
                  <c:v>3.3173960607847088</c:v>
                </c:pt>
                <c:pt idx="2">
                  <c:v>2.9684625862629916</c:v>
                </c:pt>
                <c:pt idx="3">
                  <c:v>2.1365446863972495</c:v>
                </c:pt>
                <c:pt idx="4">
                  <c:v>2.5845749714262225</c:v>
                </c:pt>
                <c:pt idx="5">
                  <c:v>2.3532635034595994</c:v>
                </c:pt>
                <c:pt idx="6">
                  <c:v>2.1125160367261864</c:v>
                </c:pt>
                <c:pt idx="7">
                  <c:v>2.4181854193531689</c:v>
                </c:pt>
                <c:pt idx="8">
                  <c:v>1.7206907396918307</c:v>
                </c:pt>
                <c:pt idx="9">
                  <c:v>2.4428161909764103</c:v>
                </c:pt>
                <c:pt idx="10">
                  <c:v>1.0436954222544517</c:v>
                </c:pt>
              </c:numCache>
            </c:numRef>
          </c:val>
          <c:extLst>
            <c:ext xmlns:c16="http://schemas.microsoft.com/office/drawing/2014/chart" uri="{C3380CC4-5D6E-409C-BE32-E72D297353CC}">
              <c16:uniqueId val="{00000002-420E-480A-B99D-B9DDF467ADD1}"/>
            </c:ext>
          </c:extLst>
        </c:ser>
        <c:ser>
          <c:idx val="2"/>
          <c:order val="3"/>
          <c:tx>
            <c:strRef>
              <c:f>'Jurisdiction by industry'!$F$164</c:f>
              <c:strCache>
                <c:ptCount val="1"/>
                <c:pt idx="0">
                  <c:v>2020-21</c:v>
                </c:pt>
              </c:strCache>
            </c:strRef>
          </c:tx>
          <c:spPr>
            <a:solidFill>
              <a:srgbClr val="3C3C3E"/>
            </a:solidFill>
            <a:ln w="6350">
              <a:solidFill>
                <a:sysClr val="windowText" lastClr="000000"/>
              </a:solidFill>
            </a:ln>
          </c:spPr>
          <c:invertIfNegative val="0"/>
          <c:cat>
            <c:strRef>
              <c:f>'Jurisdiction by industry'!$A$165:$A$175</c:f>
              <c:strCache>
                <c:ptCount val="11"/>
                <c:pt idx="0">
                  <c:v>ACT Private</c:v>
                </c:pt>
                <c:pt idx="1">
                  <c:v>SA</c:v>
                </c:pt>
                <c:pt idx="2">
                  <c:v>NSW</c:v>
                </c:pt>
                <c:pt idx="3">
                  <c:v>Tas</c:v>
                </c:pt>
                <c:pt idx="4">
                  <c:v>NT</c:v>
                </c:pt>
                <c:pt idx="5">
                  <c:v>Qld</c:v>
                </c:pt>
                <c:pt idx="6">
                  <c:v>WA</c:v>
                </c:pt>
                <c:pt idx="7">
                  <c:v>Vic</c:v>
                </c:pt>
                <c:pt idx="8">
                  <c:v>Comcare</c:v>
                </c:pt>
                <c:pt idx="9">
                  <c:v>Aus Av</c:v>
                </c:pt>
                <c:pt idx="10">
                  <c:v>NZ</c:v>
                </c:pt>
              </c:strCache>
            </c:strRef>
          </c:cat>
          <c:val>
            <c:numRef>
              <c:f>'Jurisdiction by industry'!$F$165:$F$175</c:f>
              <c:numCache>
                <c:formatCode>0.00</c:formatCode>
                <c:ptCount val="11"/>
                <c:pt idx="0">
                  <c:v>4.7469227159980685</c:v>
                </c:pt>
                <c:pt idx="1">
                  <c:v>3.5225764696068542</c:v>
                </c:pt>
                <c:pt idx="2">
                  <c:v>3.0684947238732487</c:v>
                </c:pt>
                <c:pt idx="3">
                  <c:v>2.4886956331952241</c:v>
                </c:pt>
                <c:pt idx="4">
                  <c:v>2.5537684289542417</c:v>
                </c:pt>
                <c:pt idx="5">
                  <c:v>2.4043010487036072</c:v>
                </c:pt>
                <c:pt idx="6">
                  <c:v>2.3238984880779667</c:v>
                </c:pt>
                <c:pt idx="7">
                  <c:v>2.3027645902565319</c:v>
                </c:pt>
                <c:pt idx="8">
                  <c:v>1.7767486223351128</c:v>
                </c:pt>
                <c:pt idx="9">
                  <c:v>2.4749804610748067</c:v>
                </c:pt>
                <c:pt idx="10">
                  <c:v>1.0575985699511137</c:v>
                </c:pt>
              </c:numCache>
            </c:numRef>
          </c:val>
          <c:extLst>
            <c:ext xmlns:c16="http://schemas.microsoft.com/office/drawing/2014/chart" uri="{C3380CC4-5D6E-409C-BE32-E72D297353CC}">
              <c16:uniqueId val="{00000003-420E-480A-B99D-B9DDF467ADD1}"/>
            </c:ext>
          </c:extLst>
        </c:ser>
        <c:ser>
          <c:idx val="3"/>
          <c:order val="4"/>
          <c:tx>
            <c:strRef>
              <c:f>'Jurisdiction by industry'!$G$164</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industry'!$A$165:$A$175</c:f>
              <c:strCache>
                <c:ptCount val="11"/>
                <c:pt idx="0">
                  <c:v>ACT Private</c:v>
                </c:pt>
                <c:pt idx="1">
                  <c:v>SA</c:v>
                </c:pt>
                <c:pt idx="2">
                  <c:v>NSW</c:v>
                </c:pt>
                <c:pt idx="3">
                  <c:v>Tas</c:v>
                </c:pt>
                <c:pt idx="4">
                  <c:v>NT</c:v>
                </c:pt>
                <c:pt idx="5">
                  <c:v>Qld</c:v>
                </c:pt>
                <c:pt idx="6">
                  <c:v>WA</c:v>
                </c:pt>
                <c:pt idx="7">
                  <c:v>Vic</c:v>
                </c:pt>
                <c:pt idx="8">
                  <c:v>Comcare</c:v>
                </c:pt>
                <c:pt idx="9">
                  <c:v>Aus Av</c:v>
                </c:pt>
                <c:pt idx="10">
                  <c:v>NZ</c:v>
                </c:pt>
              </c:strCache>
            </c:strRef>
          </c:cat>
          <c:val>
            <c:numRef>
              <c:f>'Jurisdiction by industry'!$G$165:$G$175</c:f>
              <c:numCache>
                <c:formatCode>0.00</c:formatCode>
                <c:ptCount val="11"/>
                <c:pt idx="0">
                  <c:v>5.13447347689607</c:v>
                </c:pt>
                <c:pt idx="1">
                  <c:v>3.6050627039217846</c:v>
                </c:pt>
                <c:pt idx="2">
                  <c:v>2.9170259662754825</c:v>
                </c:pt>
                <c:pt idx="3">
                  <c:v>2.7588728888920127</c:v>
                </c:pt>
                <c:pt idx="4">
                  <c:v>2.7022979094424282</c:v>
                </c:pt>
                <c:pt idx="5">
                  <c:v>2.5530370930755919</c:v>
                </c:pt>
                <c:pt idx="6">
                  <c:v>2.300232779757124</c:v>
                </c:pt>
                <c:pt idx="7">
                  <c:v>2.2964245082564299</c:v>
                </c:pt>
                <c:pt idx="8">
                  <c:v>1.6652645154247452</c:v>
                </c:pt>
                <c:pt idx="9">
                  <c:v>2.4572667528510488</c:v>
                </c:pt>
                <c:pt idx="10">
                  <c:v>1.0720538294303301</c:v>
                </c:pt>
              </c:numCache>
            </c:numRef>
          </c:val>
          <c:extLst>
            <c:ext xmlns:c16="http://schemas.microsoft.com/office/drawing/2014/chart" uri="{C3380CC4-5D6E-409C-BE32-E72D297353CC}">
              <c16:uniqueId val="{00000004-420E-480A-B99D-B9DDF467ADD1}"/>
            </c:ext>
          </c:extLst>
        </c:ser>
        <c:dLbls>
          <c:showLegendKey val="0"/>
          <c:showVal val="0"/>
          <c:showCatName val="0"/>
          <c:showSerName val="0"/>
          <c:showPercent val="0"/>
          <c:showBubbleSize val="0"/>
        </c:dLbls>
        <c:gapWidth val="150"/>
        <c:axId val="221850624"/>
        <c:axId val="221856512"/>
      </c:barChart>
      <c:lineChart>
        <c:grouping val="standard"/>
        <c:varyColors val="0"/>
        <c:ser>
          <c:idx val="4"/>
          <c:order val="5"/>
          <c:tx>
            <c:strRef>
              <c:f>'Jurisdiction by industry'!$H$163</c:f>
              <c:strCache>
                <c:ptCount val="1"/>
                <c:pt idx="0">
                  <c:v>2021-22 Aus av</c:v>
                </c:pt>
              </c:strCache>
            </c:strRef>
          </c:tx>
          <c:spPr>
            <a:ln>
              <a:solidFill>
                <a:srgbClr val="C10A27"/>
              </a:solidFill>
            </a:ln>
          </c:spPr>
          <c:marker>
            <c:symbol val="none"/>
          </c:marker>
          <c:cat>
            <c:strRef>
              <c:f>'Jurisdiction by industry'!$B$165:$B$175</c:f>
              <c:strCache>
                <c:ptCount val="11"/>
                <c:pt idx="0">
                  <c:v>ACT Private</c:v>
                </c:pt>
                <c:pt idx="1">
                  <c:v>SA</c:v>
                </c:pt>
                <c:pt idx="2">
                  <c:v>NSW</c:v>
                </c:pt>
                <c:pt idx="3">
                  <c:v>Tas</c:v>
                </c:pt>
                <c:pt idx="4">
                  <c:v>NT</c:v>
                </c:pt>
                <c:pt idx="5">
                  <c:v>Qld</c:v>
                </c:pt>
                <c:pt idx="6">
                  <c:v>WA</c:v>
                </c:pt>
                <c:pt idx="7">
                  <c:v>Vic</c:v>
                </c:pt>
                <c:pt idx="8">
                  <c:v>Aus Gov</c:v>
                </c:pt>
                <c:pt idx="9">
                  <c:v>Aus Av</c:v>
                </c:pt>
                <c:pt idx="10">
                  <c:v>NZ</c:v>
                </c:pt>
              </c:strCache>
            </c:strRef>
          </c:cat>
          <c:val>
            <c:numRef>
              <c:f>'Jurisdiction by industry'!$H$165:$H$175</c:f>
              <c:numCache>
                <c:formatCode>0.00</c:formatCode>
                <c:ptCount val="11"/>
                <c:pt idx="0">
                  <c:v>2.4572667528510488</c:v>
                </c:pt>
                <c:pt idx="1">
                  <c:v>2.4572667528510488</c:v>
                </c:pt>
                <c:pt idx="2">
                  <c:v>2.4572667528510488</c:v>
                </c:pt>
                <c:pt idx="3">
                  <c:v>2.4572667528510488</c:v>
                </c:pt>
                <c:pt idx="4">
                  <c:v>2.4572667528510488</c:v>
                </c:pt>
                <c:pt idx="5">
                  <c:v>2.4572667528510488</c:v>
                </c:pt>
                <c:pt idx="6">
                  <c:v>2.4572667528510488</c:v>
                </c:pt>
                <c:pt idx="7">
                  <c:v>2.4572667528510488</c:v>
                </c:pt>
                <c:pt idx="8">
                  <c:v>2.4572667528510488</c:v>
                </c:pt>
              </c:numCache>
            </c:numRef>
          </c:val>
          <c:smooth val="0"/>
          <c:extLst>
            <c:ext xmlns:c16="http://schemas.microsoft.com/office/drawing/2014/chart" uri="{C3380CC4-5D6E-409C-BE32-E72D297353CC}">
              <c16:uniqueId val="{00000005-420E-480A-B99D-B9DDF467ADD1}"/>
            </c:ext>
          </c:extLst>
        </c:ser>
        <c:dLbls>
          <c:showLegendKey val="0"/>
          <c:showVal val="0"/>
          <c:showCatName val="0"/>
          <c:showSerName val="0"/>
          <c:showPercent val="0"/>
          <c:showBubbleSize val="0"/>
        </c:dLbls>
        <c:marker val="1"/>
        <c:smooth val="0"/>
        <c:axId val="221850624"/>
        <c:axId val="221856512"/>
      </c:lineChart>
      <c:catAx>
        <c:axId val="221850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856512"/>
        <c:crosses val="autoZero"/>
        <c:auto val="1"/>
        <c:lblAlgn val="ctr"/>
        <c:lblOffset val="100"/>
        <c:tickMarkSkip val="1"/>
        <c:noMultiLvlLbl val="0"/>
      </c:catAx>
      <c:valAx>
        <c:axId val="221856512"/>
        <c:scaling>
          <c:orientation val="minMax"/>
          <c:max val="6"/>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59625140231E-2"/>
              <c:y val="0.2248688492374104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850624"/>
        <c:crosses val="autoZero"/>
        <c:crossBetween val="between"/>
        <c:majorUnit val="1"/>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1699652724578228E-2"/>
          <c:w val="0.7656060158896929"/>
          <c:h val="0.55458231484845721"/>
        </c:manualLayout>
      </c:layout>
      <c:barChart>
        <c:barDir val="col"/>
        <c:grouping val="clustered"/>
        <c:varyColors val="0"/>
        <c:ser>
          <c:idx val="6"/>
          <c:order val="0"/>
          <c:tx>
            <c:strRef>
              <c:f>'Jurisdiction by industry'!$C$183</c:f>
              <c:strCache>
                <c:ptCount val="1"/>
                <c:pt idx="0">
                  <c:v>2017-18</c:v>
                </c:pt>
              </c:strCache>
            </c:strRef>
          </c:tx>
          <c:spPr>
            <a:solidFill>
              <a:srgbClr val="D9D9D9"/>
            </a:solidFill>
            <a:ln w="6350">
              <a:solidFill>
                <a:sysClr val="windowText" lastClr="000000"/>
              </a:solidFill>
            </a:ln>
          </c:spPr>
          <c:invertIfNegative val="0"/>
          <c:cat>
            <c:strRef>
              <c:f>'Jurisdiction by industry'!$A$184:$A$194</c:f>
              <c:strCache>
                <c:ptCount val="11"/>
                <c:pt idx="0">
                  <c:v>NT</c:v>
                </c:pt>
                <c:pt idx="1">
                  <c:v>Tas</c:v>
                </c:pt>
                <c:pt idx="2">
                  <c:v>ACT Private</c:v>
                </c:pt>
                <c:pt idx="3">
                  <c:v>Qld</c:v>
                </c:pt>
                <c:pt idx="4">
                  <c:v>SA</c:v>
                </c:pt>
                <c:pt idx="5">
                  <c:v>WA</c:v>
                </c:pt>
                <c:pt idx="6">
                  <c:v>NSW</c:v>
                </c:pt>
                <c:pt idx="7">
                  <c:v>Vic</c:v>
                </c:pt>
                <c:pt idx="8">
                  <c:v>Comcare</c:v>
                </c:pt>
                <c:pt idx="9">
                  <c:v>Aus Av</c:v>
                </c:pt>
                <c:pt idx="10">
                  <c:v>NZ</c:v>
                </c:pt>
              </c:strCache>
            </c:strRef>
          </c:cat>
          <c:val>
            <c:numRef>
              <c:f>'Jurisdiction by industry'!$C$184:$C$194</c:f>
              <c:numCache>
                <c:formatCode>0.00</c:formatCode>
                <c:ptCount val="11"/>
                <c:pt idx="0">
                  <c:v>1.6984197193873112</c:v>
                </c:pt>
                <c:pt idx="1">
                  <c:v>0.9804288301871914</c:v>
                </c:pt>
                <c:pt idx="2">
                  <c:v>0.675147906620858</c:v>
                </c:pt>
                <c:pt idx="3">
                  <c:v>0.41376858030604408</c:v>
                </c:pt>
                <c:pt idx="4">
                  <c:v>0.64092767360172331</c:v>
                </c:pt>
                <c:pt idx="5">
                  <c:v>0.37964025916270094</c:v>
                </c:pt>
                <c:pt idx="6">
                  <c:v>0.35462786610483304</c:v>
                </c:pt>
                <c:pt idx="7">
                  <c:v>0.3955772466399986</c:v>
                </c:pt>
                <c:pt idx="8">
                  <c:v>0.2452444101277661</c:v>
                </c:pt>
                <c:pt idx="9">
                  <c:v>0.34374651386891164</c:v>
                </c:pt>
                <c:pt idx="10">
                  <c:v>0.17957609805044289</c:v>
                </c:pt>
              </c:numCache>
            </c:numRef>
          </c:val>
          <c:extLst>
            <c:ext xmlns:c16="http://schemas.microsoft.com/office/drawing/2014/chart" uri="{C3380CC4-5D6E-409C-BE32-E72D297353CC}">
              <c16:uniqueId val="{00000000-C5ED-4140-83CA-913BD102AC72}"/>
            </c:ext>
          </c:extLst>
        </c:ser>
        <c:ser>
          <c:idx val="0"/>
          <c:order val="1"/>
          <c:tx>
            <c:strRef>
              <c:f>'Jurisdiction by industry'!$D$183</c:f>
              <c:strCache>
                <c:ptCount val="1"/>
                <c:pt idx="0">
                  <c:v>2018-19</c:v>
                </c:pt>
              </c:strCache>
            </c:strRef>
          </c:tx>
          <c:spPr>
            <a:solidFill>
              <a:srgbClr val="A6A6A6"/>
            </a:solidFill>
            <a:ln w="6350">
              <a:solidFill>
                <a:sysClr val="windowText" lastClr="000000"/>
              </a:solidFill>
            </a:ln>
          </c:spPr>
          <c:invertIfNegative val="0"/>
          <c:cat>
            <c:strRef>
              <c:f>'Jurisdiction by industry'!$A$184:$A$194</c:f>
              <c:strCache>
                <c:ptCount val="11"/>
                <c:pt idx="0">
                  <c:v>NT</c:v>
                </c:pt>
                <c:pt idx="1">
                  <c:v>Tas</c:v>
                </c:pt>
                <c:pt idx="2">
                  <c:v>ACT Private</c:v>
                </c:pt>
                <c:pt idx="3">
                  <c:v>Qld</c:v>
                </c:pt>
                <c:pt idx="4">
                  <c:v>SA</c:v>
                </c:pt>
                <c:pt idx="5">
                  <c:v>WA</c:v>
                </c:pt>
                <c:pt idx="6">
                  <c:v>NSW</c:v>
                </c:pt>
                <c:pt idx="7">
                  <c:v>Vic</c:v>
                </c:pt>
                <c:pt idx="8">
                  <c:v>Comcare</c:v>
                </c:pt>
                <c:pt idx="9">
                  <c:v>Aus Av</c:v>
                </c:pt>
                <c:pt idx="10">
                  <c:v>NZ</c:v>
                </c:pt>
              </c:strCache>
            </c:strRef>
          </c:cat>
          <c:val>
            <c:numRef>
              <c:f>'Jurisdiction by industry'!$D$184:$D$194</c:f>
              <c:numCache>
                <c:formatCode>0.00</c:formatCode>
                <c:ptCount val="11"/>
                <c:pt idx="0">
                  <c:v>1.8109506283707979</c:v>
                </c:pt>
                <c:pt idx="1">
                  <c:v>1.0547711928456127</c:v>
                </c:pt>
                <c:pt idx="2">
                  <c:v>0.78925549671501916</c:v>
                </c:pt>
                <c:pt idx="3">
                  <c:v>0.42537314264873788</c:v>
                </c:pt>
                <c:pt idx="4">
                  <c:v>0.55416350270871806</c:v>
                </c:pt>
                <c:pt idx="5">
                  <c:v>0.39389440759386457</c:v>
                </c:pt>
                <c:pt idx="6">
                  <c:v>0.36734791406170986</c:v>
                </c:pt>
                <c:pt idx="7">
                  <c:v>0.35360687072407082</c:v>
                </c:pt>
                <c:pt idx="8">
                  <c:v>0.22348889498858732</c:v>
                </c:pt>
                <c:pt idx="9">
                  <c:v>0.32974287225972659</c:v>
                </c:pt>
                <c:pt idx="10">
                  <c:v>0.17050647339800976</c:v>
                </c:pt>
              </c:numCache>
            </c:numRef>
          </c:val>
          <c:extLst>
            <c:ext xmlns:c16="http://schemas.microsoft.com/office/drawing/2014/chart" uri="{C3380CC4-5D6E-409C-BE32-E72D297353CC}">
              <c16:uniqueId val="{00000001-C5ED-4140-83CA-913BD102AC72}"/>
            </c:ext>
          </c:extLst>
        </c:ser>
        <c:ser>
          <c:idx val="1"/>
          <c:order val="2"/>
          <c:tx>
            <c:strRef>
              <c:f>'Jurisdiction by industry'!$E$183</c:f>
              <c:strCache>
                <c:ptCount val="1"/>
                <c:pt idx="0">
                  <c:v>2019-20</c:v>
                </c:pt>
              </c:strCache>
            </c:strRef>
          </c:tx>
          <c:spPr>
            <a:solidFill>
              <a:srgbClr val="595A5C"/>
            </a:solidFill>
            <a:ln w="6350">
              <a:solidFill>
                <a:sysClr val="windowText" lastClr="000000"/>
              </a:solidFill>
            </a:ln>
          </c:spPr>
          <c:invertIfNegative val="0"/>
          <c:cat>
            <c:strRef>
              <c:f>'Jurisdiction by industry'!$A$184:$A$194</c:f>
              <c:strCache>
                <c:ptCount val="11"/>
                <c:pt idx="0">
                  <c:v>NT</c:v>
                </c:pt>
                <c:pt idx="1">
                  <c:v>Tas</c:v>
                </c:pt>
                <c:pt idx="2">
                  <c:v>ACT Private</c:v>
                </c:pt>
                <c:pt idx="3">
                  <c:v>Qld</c:v>
                </c:pt>
                <c:pt idx="4">
                  <c:v>SA</c:v>
                </c:pt>
                <c:pt idx="5">
                  <c:v>WA</c:v>
                </c:pt>
                <c:pt idx="6">
                  <c:v>NSW</c:v>
                </c:pt>
                <c:pt idx="7">
                  <c:v>Vic</c:v>
                </c:pt>
                <c:pt idx="8">
                  <c:v>Comcare</c:v>
                </c:pt>
                <c:pt idx="9">
                  <c:v>Aus Av</c:v>
                </c:pt>
                <c:pt idx="10">
                  <c:v>NZ</c:v>
                </c:pt>
              </c:strCache>
            </c:strRef>
          </c:cat>
          <c:val>
            <c:numRef>
              <c:f>'Jurisdiction by industry'!$E$184:$E$194</c:f>
              <c:numCache>
                <c:formatCode>0.00</c:formatCode>
                <c:ptCount val="11"/>
                <c:pt idx="0">
                  <c:v>1.7590321426666242</c:v>
                </c:pt>
                <c:pt idx="1">
                  <c:v>0.90346598597429839</c:v>
                </c:pt>
                <c:pt idx="2">
                  <c:v>0.83332717856498972</c:v>
                </c:pt>
                <c:pt idx="3">
                  <c:v>0.48784961721697911</c:v>
                </c:pt>
                <c:pt idx="4">
                  <c:v>0.54747421817818476</c:v>
                </c:pt>
                <c:pt idx="5">
                  <c:v>0.43257983096481911</c:v>
                </c:pt>
                <c:pt idx="6">
                  <c:v>0.34371515682858139</c:v>
                </c:pt>
                <c:pt idx="7">
                  <c:v>0.33454050524793488</c:v>
                </c:pt>
                <c:pt idx="8">
                  <c:v>0.28366648054015903</c:v>
                </c:pt>
                <c:pt idx="9">
                  <c:v>0.34791789734110345</c:v>
                </c:pt>
                <c:pt idx="10">
                  <c:v>0.16256258370349574</c:v>
                </c:pt>
              </c:numCache>
            </c:numRef>
          </c:val>
          <c:extLst>
            <c:ext xmlns:c16="http://schemas.microsoft.com/office/drawing/2014/chart" uri="{C3380CC4-5D6E-409C-BE32-E72D297353CC}">
              <c16:uniqueId val="{00000002-C5ED-4140-83CA-913BD102AC72}"/>
            </c:ext>
          </c:extLst>
        </c:ser>
        <c:ser>
          <c:idx val="2"/>
          <c:order val="3"/>
          <c:tx>
            <c:strRef>
              <c:f>'Jurisdiction by industry'!$F$183</c:f>
              <c:strCache>
                <c:ptCount val="1"/>
                <c:pt idx="0">
                  <c:v>2020-21</c:v>
                </c:pt>
              </c:strCache>
            </c:strRef>
          </c:tx>
          <c:spPr>
            <a:solidFill>
              <a:srgbClr val="3C3C3E"/>
            </a:solidFill>
            <a:ln w="6350">
              <a:solidFill>
                <a:sysClr val="windowText" lastClr="000000"/>
              </a:solidFill>
            </a:ln>
          </c:spPr>
          <c:invertIfNegative val="0"/>
          <c:cat>
            <c:strRef>
              <c:f>'Jurisdiction by industry'!$A$184:$A$194</c:f>
              <c:strCache>
                <c:ptCount val="11"/>
                <c:pt idx="0">
                  <c:v>NT</c:v>
                </c:pt>
                <c:pt idx="1">
                  <c:v>Tas</c:v>
                </c:pt>
                <c:pt idx="2">
                  <c:v>ACT Private</c:v>
                </c:pt>
                <c:pt idx="3">
                  <c:v>Qld</c:v>
                </c:pt>
                <c:pt idx="4">
                  <c:v>SA</c:v>
                </c:pt>
                <c:pt idx="5">
                  <c:v>WA</c:v>
                </c:pt>
                <c:pt idx="6">
                  <c:v>NSW</c:v>
                </c:pt>
                <c:pt idx="7">
                  <c:v>Vic</c:v>
                </c:pt>
                <c:pt idx="8">
                  <c:v>Comcare</c:v>
                </c:pt>
                <c:pt idx="9">
                  <c:v>Aus Av</c:v>
                </c:pt>
                <c:pt idx="10">
                  <c:v>NZ</c:v>
                </c:pt>
              </c:strCache>
            </c:strRef>
          </c:cat>
          <c:val>
            <c:numRef>
              <c:f>'Jurisdiction by industry'!$F$184:$F$194</c:f>
              <c:numCache>
                <c:formatCode>0.00</c:formatCode>
                <c:ptCount val="11"/>
                <c:pt idx="0">
                  <c:v>1.8851100911001322</c:v>
                </c:pt>
                <c:pt idx="1">
                  <c:v>0.98845066645442037</c:v>
                </c:pt>
                <c:pt idx="2">
                  <c:v>0.80645735139358909</c:v>
                </c:pt>
                <c:pt idx="3">
                  <c:v>0.53939310376501459</c:v>
                </c:pt>
                <c:pt idx="4">
                  <c:v>0.48115535771259693</c:v>
                </c:pt>
                <c:pt idx="5">
                  <c:v>0.42693016840810605</c:v>
                </c:pt>
                <c:pt idx="6">
                  <c:v>0.37055891715038092</c:v>
                </c:pt>
                <c:pt idx="7">
                  <c:v>0.33093380908422548</c:v>
                </c:pt>
                <c:pt idx="8">
                  <c:v>0.22732562596842945</c:v>
                </c:pt>
                <c:pt idx="9">
                  <c:v>0.33689273551217402</c:v>
                </c:pt>
                <c:pt idx="10">
                  <c:v>0.14926703538264674</c:v>
                </c:pt>
              </c:numCache>
            </c:numRef>
          </c:val>
          <c:extLst>
            <c:ext xmlns:c16="http://schemas.microsoft.com/office/drawing/2014/chart" uri="{C3380CC4-5D6E-409C-BE32-E72D297353CC}">
              <c16:uniqueId val="{00000003-C5ED-4140-83CA-913BD102AC72}"/>
            </c:ext>
          </c:extLst>
        </c:ser>
        <c:ser>
          <c:idx val="3"/>
          <c:order val="4"/>
          <c:tx>
            <c:strRef>
              <c:f>'Jurisdiction by industry'!$G$183</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industry'!$A$184:$A$194</c:f>
              <c:strCache>
                <c:ptCount val="11"/>
                <c:pt idx="0">
                  <c:v>NT</c:v>
                </c:pt>
                <c:pt idx="1">
                  <c:v>Tas</c:v>
                </c:pt>
                <c:pt idx="2">
                  <c:v>ACT Private</c:v>
                </c:pt>
                <c:pt idx="3">
                  <c:v>Qld</c:v>
                </c:pt>
                <c:pt idx="4">
                  <c:v>SA</c:v>
                </c:pt>
                <c:pt idx="5">
                  <c:v>WA</c:v>
                </c:pt>
                <c:pt idx="6">
                  <c:v>NSW</c:v>
                </c:pt>
                <c:pt idx="7">
                  <c:v>Vic</c:v>
                </c:pt>
                <c:pt idx="8">
                  <c:v>Comcare</c:v>
                </c:pt>
                <c:pt idx="9">
                  <c:v>Aus Av</c:v>
                </c:pt>
                <c:pt idx="10">
                  <c:v>NZ</c:v>
                </c:pt>
              </c:strCache>
            </c:strRef>
          </c:cat>
          <c:val>
            <c:numRef>
              <c:f>'Jurisdiction by industry'!$G$184:$G$194</c:f>
              <c:numCache>
                <c:formatCode>0.00</c:formatCode>
                <c:ptCount val="11"/>
                <c:pt idx="0">
                  <c:v>1.9319347575164096</c:v>
                </c:pt>
                <c:pt idx="1">
                  <c:v>1.021768413908092</c:v>
                </c:pt>
                <c:pt idx="2">
                  <c:v>0.80385338680764429</c:v>
                </c:pt>
                <c:pt idx="3">
                  <c:v>0.51516696620972646</c:v>
                </c:pt>
                <c:pt idx="4">
                  <c:v>0.51438873700261467</c:v>
                </c:pt>
                <c:pt idx="5">
                  <c:v>0.41531173888277423</c:v>
                </c:pt>
                <c:pt idx="6">
                  <c:v>0.36933938631924185</c:v>
                </c:pt>
                <c:pt idx="7">
                  <c:v>0.3346456773182353</c:v>
                </c:pt>
                <c:pt idx="8">
                  <c:v>0.2416170925671719</c:v>
                </c:pt>
                <c:pt idx="9">
                  <c:v>0.34423910142940706</c:v>
                </c:pt>
                <c:pt idx="10">
                  <c:v>0.144919522063925</c:v>
                </c:pt>
              </c:numCache>
            </c:numRef>
          </c:val>
          <c:extLst>
            <c:ext xmlns:c16="http://schemas.microsoft.com/office/drawing/2014/chart" uri="{C3380CC4-5D6E-409C-BE32-E72D297353CC}">
              <c16:uniqueId val="{00000004-C5ED-4140-83CA-913BD102AC72}"/>
            </c:ext>
          </c:extLst>
        </c:ser>
        <c:dLbls>
          <c:showLegendKey val="0"/>
          <c:showVal val="0"/>
          <c:showCatName val="0"/>
          <c:showSerName val="0"/>
          <c:showPercent val="0"/>
          <c:showBubbleSize val="0"/>
        </c:dLbls>
        <c:gapWidth val="150"/>
        <c:axId val="221919488"/>
        <c:axId val="221925376"/>
      </c:barChart>
      <c:lineChart>
        <c:grouping val="standard"/>
        <c:varyColors val="0"/>
        <c:ser>
          <c:idx val="4"/>
          <c:order val="5"/>
          <c:tx>
            <c:strRef>
              <c:f>'Jurisdiction by industry'!$H$182</c:f>
              <c:strCache>
                <c:ptCount val="1"/>
                <c:pt idx="0">
                  <c:v>2021-22 Aus av</c:v>
                </c:pt>
              </c:strCache>
            </c:strRef>
          </c:tx>
          <c:spPr>
            <a:ln>
              <a:solidFill>
                <a:srgbClr val="C10A27"/>
              </a:solidFill>
            </a:ln>
          </c:spPr>
          <c:marker>
            <c:symbol val="none"/>
          </c:marker>
          <c:val>
            <c:numRef>
              <c:f>'Jurisdiction by industry'!$H$184:$H$194</c:f>
              <c:numCache>
                <c:formatCode>0.00</c:formatCode>
                <c:ptCount val="11"/>
                <c:pt idx="0">
                  <c:v>0.34423910142940706</c:v>
                </c:pt>
                <c:pt idx="1">
                  <c:v>0.34423910142940706</c:v>
                </c:pt>
                <c:pt idx="2">
                  <c:v>0.34423910142940706</c:v>
                </c:pt>
                <c:pt idx="3">
                  <c:v>0.34423910142940706</c:v>
                </c:pt>
                <c:pt idx="4">
                  <c:v>0.34423910142940706</c:v>
                </c:pt>
                <c:pt idx="5">
                  <c:v>0.34423910142940706</c:v>
                </c:pt>
                <c:pt idx="6">
                  <c:v>0.34423910142940706</c:v>
                </c:pt>
                <c:pt idx="7">
                  <c:v>0.34423910142940706</c:v>
                </c:pt>
                <c:pt idx="8">
                  <c:v>0.34423910142940706</c:v>
                </c:pt>
              </c:numCache>
            </c:numRef>
          </c:val>
          <c:smooth val="0"/>
          <c:extLst>
            <c:ext xmlns:c16="http://schemas.microsoft.com/office/drawing/2014/chart" uri="{C3380CC4-5D6E-409C-BE32-E72D297353CC}">
              <c16:uniqueId val="{00000005-C5ED-4140-83CA-913BD102AC72}"/>
            </c:ext>
          </c:extLst>
        </c:ser>
        <c:dLbls>
          <c:showLegendKey val="0"/>
          <c:showVal val="0"/>
          <c:showCatName val="0"/>
          <c:showSerName val="0"/>
          <c:showPercent val="0"/>
          <c:showBubbleSize val="0"/>
        </c:dLbls>
        <c:marker val="1"/>
        <c:smooth val="0"/>
        <c:axId val="221919488"/>
        <c:axId val="221925376"/>
      </c:lineChart>
      <c:catAx>
        <c:axId val="2219194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925376"/>
        <c:crosses val="autoZero"/>
        <c:auto val="1"/>
        <c:lblAlgn val="ctr"/>
        <c:lblOffset val="100"/>
        <c:tickMarkSkip val="1"/>
        <c:noMultiLvlLbl val="0"/>
      </c:catAx>
      <c:valAx>
        <c:axId val="221925376"/>
        <c:scaling>
          <c:orientation val="minMax"/>
          <c:max val="2"/>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8.1314500794272868E-2"/>
              <c:y val="0.20674151401038959"/>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919488"/>
        <c:crosses val="autoZero"/>
        <c:crossBetween val="between"/>
        <c:majorUnit val="0.5"/>
      </c:valAx>
      <c:dTable>
        <c:showHorzBorder val="0"/>
        <c:showVertBorder val="0"/>
        <c:showOutline val="0"/>
        <c:showKeys val="1"/>
        <c:txPr>
          <a:bodyPr/>
          <a:lstStyle/>
          <a:p>
            <a:pPr rtl="0">
              <a:defRPr sz="800"/>
            </a:pPr>
            <a:endParaRPr lang="en-US"/>
          </a:p>
        </c:txPr>
      </c:dTable>
      <c:spPr>
        <a:noFill/>
        <a:ln w="6350">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7505852136138775E-2"/>
          <c:w val="0.7656060158896929"/>
          <c:h val="0.55007226641300133"/>
        </c:manualLayout>
      </c:layout>
      <c:barChart>
        <c:barDir val="col"/>
        <c:grouping val="clustered"/>
        <c:varyColors val="0"/>
        <c:ser>
          <c:idx val="6"/>
          <c:order val="0"/>
          <c:tx>
            <c:strRef>
              <c:f>'Jurisdiction by industry'!$C$202</c:f>
              <c:strCache>
                <c:ptCount val="1"/>
                <c:pt idx="0">
                  <c:v>2017-18</c:v>
                </c:pt>
              </c:strCache>
            </c:strRef>
          </c:tx>
          <c:spPr>
            <a:solidFill>
              <a:srgbClr val="D9D9D9"/>
            </a:solidFill>
            <a:ln w="6350">
              <a:solidFill>
                <a:sysClr val="windowText" lastClr="000000"/>
              </a:solidFill>
            </a:ln>
          </c:spPr>
          <c:invertIfNegative val="0"/>
          <c:cat>
            <c:strRef>
              <c:f>'Jurisdiction by industry'!$A$203:$A$213</c:f>
              <c:strCache>
                <c:ptCount val="11"/>
                <c:pt idx="0">
                  <c:v>ACT Private</c:v>
                </c:pt>
                <c:pt idx="1">
                  <c:v>Tas</c:v>
                </c:pt>
                <c:pt idx="2">
                  <c:v>NT</c:v>
                </c:pt>
                <c:pt idx="3">
                  <c:v>SA</c:v>
                </c:pt>
                <c:pt idx="4">
                  <c:v>WA</c:v>
                </c:pt>
                <c:pt idx="5">
                  <c:v>Vic</c:v>
                </c:pt>
                <c:pt idx="6">
                  <c:v>NSW</c:v>
                </c:pt>
                <c:pt idx="7">
                  <c:v>Qld</c:v>
                </c:pt>
                <c:pt idx="8">
                  <c:v>Comcare</c:v>
                </c:pt>
                <c:pt idx="9">
                  <c:v>Aus Av</c:v>
                </c:pt>
                <c:pt idx="10">
                  <c:v>NZ</c:v>
                </c:pt>
              </c:strCache>
            </c:strRef>
          </c:cat>
          <c:val>
            <c:numRef>
              <c:f>'Jurisdiction by industry'!$C$203:$C$213</c:f>
              <c:numCache>
                <c:formatCode>0.00</c:formatCode>
                <c:ptCount val="11"/>
                <c:pt idx="0">
                  <c:v>0.81351119037027397</c:v>
                </c:pt>
                <c:pt idx="1">
                  <c:v>0.59503980592842542</c:v>
                </c:pt>
                <c:pt idx="2">
                  <c:v>0.58589437712309866</c:v>
                </c:pt>
                <c:pt idx="3">
                  <c:v>0.35949897205580572</c:v>
                </c:pt>
                <c:pt idx="4">
                  <c:v>0.29823458041810208</c:v>
                </c:pt>
                <c:pt idx="5">
                  <c:v>0.26559887278307265</c:v>
                </c:pt>
                <c:pt idx="6">
                  <c:v>0.21635619629850389</c:v>
                </c:pt>
                <c:pt idx="7">
                  <c:v>0.19658210107733565</c:v>
                </c:pt>
                <c:pt idx="8">
                  <c:v>0.24339586965979759</c:v>
                </c:pt>
                <c:pt idx="9">
                  <c:v>0.24198865692536842</c:v>
                </c:pt>
                <c:pt idx="10">
                  <c:v>0.1330126339879974</c:v>
                </c:pt>
              </c:numCache>
            </c:numRef>
          </c:val>
          <c:extLst>
            <c:ext xmlns:c16="http://schemas.microsoft.com/office/drawing/2014/chart" uri="{C3380CC4-5D6E-409C-BE32-E72D297353CC}">
              <c16:uniqueId val="{00000000-DC4D-4319-A04D-5B804A7621FB}"/>
            </c:ext>
          </c:extLst>
        </c:ser>
        <c:ser>
          <c:idx val="0"/>
          <c:order val="1"/>
          <c:tx>
            <c:strRef>
              <c:f>'Jurisdiction by industry'!$D$202</c:f>
              <c:strCache>
                <c:ptCount val="1"/>
                <c:pt idx="0">
                  <c:v>2018-19</c:v>
                </c:pt>
              </c:strCache>
            </c:strRef>
          </c:tx>
          <c:spPr>
            <a:solidFill>
              <a:srgbClr val="A6A6A6"/>
            </a:solidFill>
            <a:ln w="6350">
              <a:solidFill>
                <a:sysClr val="windowText" lastClr="000000"/>
              </a:solidFill>
            </a:ln>
          </c:spPr>
          <c:invertIfNegative val="0"/>
          <c:cat>
            <c:strRef>
              <c:f>'Jurisdiction by industry'!$A$203:$A$213</c:f>
              <c:strCache>
                <c:ptCount val="11"/>
                <c:pt idx="0">
                  <c:v>ACT Private</c:v>
                </c:pt>
                <c:pt idx="1">
                  <c:v>Tas</c:v>
                </c:pt>
                <c:pt idx="2">
                  <c:v>NT</c:v>
                </c:pt>
                <c:pt idx="3">
                  <c:v>SA</c:v>
                </c:pt>
                <c:pt idx="4">
                  <c:v>WA</c:v>
                </c:pt>
                <c:pt idx="5">
                  <c:v>Vic</c:v>
                </c:pt>
                <c:pt idx="6">
                  <c:v>NSW</c:v>
                </c:pt>
                <c:pt idx="7">
                  <c:v>Qld</c:v>
                </c:pt>
                <c:pt idx="8">
                  <c:v>Comcare</c:v>
                </c:pt>
                <c:pt idx="9">
                  <c:v>Aus Av</c:v>
                </c:pt>
                <c:pt idx="10">
                  <c:v>NZ</c:v>
                </c:pt>
              </c:strCache>
            </c:strRef>
          </c:cat>
          <c:val>
            <c:numRef>
              <c:f>'Jurisdiction by industry'!$D$203:$D$213</c:f>
              <c:numCache>
                <c:formatCode>0.00</c:formatCode>
                <c:ptCount val="11"/>
                <c:pt idx="0">
                  <c:v>0.8632848208332029</c:v>
                </c:pt>
                <c:pt idx="1">
                  <c:v>0.61210794091500265</c:v>
                </c:pt>
                <c:pt idx="2">
                  <c:v>0.6488043918262365</c:v>
                </c:pt>
                <c:pt idx="3">
                  <c:v>0.34505524394597303</c:v>
                </c:pt>
                <c:pt idx="4">
                  <c:v>0.29781538523147816</c:v>
                </c:pt>
                <c:pt idx="5">
                  <c:v>0.28390967704294967</c:v>
                </c:pt>
                <c:pt idx="6">
                  <c:v>0.2308710746882916</c:v>
                </c:pt>
                <c:pt idx="7">
                  <c:v>0.19365144309374205</c:v>
                </c:pt>
                <c:pt idx="8">
                  <c:v>0.2388112748518269</c:v>
                </c:pt>
                <c:pt idx="9">
                  <c:v>0.2510831715764178</c:v>
                </c:pt>
                <c:pt idx="10">
                  <c:v>0.11972266922724048</c:v>
                </c:pt>
              </c:numCache>
            </c:numRef>
          </c:val>
          <c:extLst>
            <c:ext xmlns:c16="http://schemas.microsoft.com/office/drawing/2014/chart" uri="{C3380CC4-5D6E-409C-BE32-E72D297353CC}">
              <c16:uniqueId val="{00000001-DC4D-4319-A04D-5B804A7621FB}"/>
            </c:ext>
          </c:extLst>
        </c:ser>
        <c:ser>
          <c:idx val="1"/>
          <c:order val="2"/>
          <c:tx>
            <c:strRef>
              <c:f>'Jurisdiction by industry'!$E$202</c:f>
              <c:strCache>
                <c:ptCount val="1"/>
                <c:pt idx="0">
                  <c:v>2019-20</c:v>
                </c:pt>
              </c:strCache>
            </c:strRef>
          </c:tx>
          <c:spPr>
            <a:solidFill>
              <a:srgbClr val="595A5C"/>
            </a:solidFill>
            <a:ln w="6350">
              <a:solidFill>
                <a:sysClr val="windowText" lastClr="000000"/>
              </a:solidFill>
            </a:ln>
          </c:spPr>
          <c:invertIfNegative val="0"/>
          <c:cat>
            <c:strRef>
              <c:f>'Jurisdiction by industry'!$A$203:$A$213</c:f>
              <c:strCache>
                <c:ptCount val="11"/>
                <c:pt idx="0">
                  <c:v>ACT Private</c:v>
                </c:pt>
                <c:pt idx="1">
                  <c:v>Tas</c:v>
                </c:pt>
                <c:pt idx="2">
                  <c:v>NT</c:v>
                </c:pt>
                <c:pt idx="3">
                  <c:v>SA</c:v>
                </c:pt>
                <c:pt idx="4">
                  <c:v>WA</c:v>
                </c:pt>
                <c:pt idx="5">
                  <c:v>Vic</c:v>
                </c:pt>
                <c:pt idx="6">
                  <c:v>NSW</c:v>
                </c:pt>
                <c:pt idx="7">
                  <c:v>Qld</c:v>
                </c:pt>
                <c:pt idx="8">
                  <c:v>Comcare</c:v>
                </c:pt>
                <c:pt idx="9">
                  <c:v>Aus Av</c:v>
                </c:pt>
                <c:pt idx="10">
                  <c:v>NZ</c:v>
                </c:pt>
              </c:strCache>
            </c:strRef>
          </c:cat>
          <c:val>
            <c:numRef>
              <c:f>'Jurisdiction by industry'!$E$203:$E$213</c:f>
              <c:numCache>
                <c:formatCode>0.00</c:formatCode>
                <c:ptCount val="11"/>
                <c:pt idx="0">
                  <c:v>0.66667523094725301</c:v>
                </c:pt>
                <c:pt idx="1">
                  <c:v>0.59704856083288038</c:v>
                </c:pt>
                <c:pt idx="2">
                  <c:v>0.95285165757544243</c:v>
                </c:pt>
                <c:pt idx="3">
                  <c:v>0.32979464066642078</c:v>
                </c:pt>
                <c:pt idx="4">
                  <c:v>0.31320383173045346</c:v>
                </c:pt>
                <c:pt idx="5">
                  <c:v>0.26410586312976203</c:v>
                </c:pt>
                <c:pt idx="6">
                  <c:v>0.22607416447455847</c:v>
                </c:pt>
                <c:pt idx="7">
                  <c:v>0.19311851844490657</c:v>
                </c:pt>
                <c:pt idx="8">
                  <c:v>0.20883197574003021</c:v>
                </c:pt>
                <c:pt idx="9">
                  <c:v>0.23999485737005319</c:v>
                </c:pt>
                <c:pt idx="10">
                  <c:v>0.10605758707277319</c:v>
                </c:pt>
              </c:numCache>
            </c:numRef>
          </c:val>
          <c:extLst>
            <c:ext xmlns:c16="http://schemas.microsoft.com/office/drawing/2014/chart" uri="{C3380CC4-5D6E-409C-BE32-E72D297353CC}">
              <c16:uniqueId val="{00000002-DC4D-4319-A04D-5B804A7621FB}"/>
            </c:ext>
          </c:extLst>
        </c:ser>
        <c:ser>
          <c:idx val="2"/>
          <c:order val="3"/>
          <c:tx>
            <c:strRef>
              <c:f>'Jurisdiction by industry'!$F$202</c:f>
              <c:strCache>
                <c:ptCount val="1"/>
                <c:pt idx="0">
                  <c:v>2020-21</c:v>
                </c:pt>
              </c:strCache>
            </c:strRef>
          </c:tx>
          <c:spPr>
            <a:solidFill>
              <a:srgbClr val="3C3C3E"/>
            </a:solidFill>
            <a:ln w="6350">
              <a:solidFill>
                <a:sysClr val="windowText" lastClr="000000"/>
              </a:solidFill>
            </a:ln>
          </c:spPr>
          <c:invertIfNegative val="0"/>
          <c:cat>
            <c:strRef>
              <c:f>'Jurisdiction by industry'!$A$203:$A$213</c:f>
              <c:strCache>
                <c:ptCount val="11"/>
                <c:pt idx="0">
                  <c:v>ACT Private</c:v>
                </c:pt>
                <c:pt idx="1">
                  <c:v>Tas</c:v>
                </c:pt>
                <c:pt idx="2">
                  <c:v>NT</c:v>
                </c:pt>
                <c:pt idx="3">
                  <c:v>SA</c:v>
                </c:pt>
                <c:pt idx="4">
                  <c:v>WA</c:v>
                </c:pt>
                <c:pt idx="5">
                  <c:v>Vic</c:v>
                </c:pt>
                <c:pt idx="6">
                  <c:v>NSW</c:v>
                </c:pt>
                <c:pt idx="7">
                  <c:v>Qld</c:v>
                </c:pt>
                <c:pt idx="8">
                  <c:v>Comcare</c:v>
                </c:pt>
                <c:pt idx="9">
                  <c:v>Aus Av</c:v>
                </c:pt>
                <c:pt idx="10">
                  <c:v>NZ</c:v>
                </c:pt>
              </c:strCache>
            </c:strRef>
          </c:cat>
          <c:val>
            <c:numRef>
              <c:f>'Jurisdiction by industry'!$F$203:$F$213</c:f>
              <c:numCache>
                <c:formatCode>0.00</c:formatCode>
                <c:ptCount val="11"/>
                <c:pt idx="0">
                  <c:v>0.67346011869619593</c:v>
                </c:pt>
                <c:pt idx="1">
                  <c:v>0.64602519591572949</c:v>
                </c:pt>
                <c:pt idx="2">
                  <c:v>0.52004793578591613</c:v>
                </c:pt>
                <c:pt idx="3">
                  <c:v>0.3535346793523334</c:v>
                </c:pt>
                <c:pt idx="4">
                  <c:v>0.31255894755360009</c:v>
                </c:pt>
                <c:pt idx="5">
                  <c:v>0.25056107237392344</c:v>
                </c:pt>
                <c:pt idx="6">
                  <c:v>0.22822868865572071</c:v>
                </c:pt>
                <c:pt idx="7">
                  <c:v>0.19757038323029719</c:v>
                </c:pt>
                <c:pt idx="8">
                  <c:v>0.16565210733052149</c:v>
                </c:pt>
                <c:pt idx="9">
                  <c:v>0.23333599444442088</c:v>
                </c:pt>
                <c:pt idx="10">
                  <c:v>0.10017318354196343</c:v>
                </c:pt>
              </c:numCache>
            </c:numRef>
          </c:val>
          <c:extLst>
            <c:ext xmlns:c16="http://schemas.microsoft.com/office/drawing/2014/chart" uri="{C3380CC4-5D6E-409C-BE32-E72D297353CC}">
              <c16:uniqueId val="{00000003-DC4D-4319-A04D-5B804A7621FB}"/>
            </c:ext>
          </c:extLst>
        </c:ser>
        <c:ser>
          <c:idx val="3"/>
          <c:order val="4"/>
          <c:tx>
            <c:strRef>
              <c:f>'Jurisdiction by industry'!$G$202</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industry'!$A$203:$A$213</c:f>
              <c:strCache>
                <c:ptCount val="11"/>
                <c:pt idx="0">
                  <c:v>ACT Private</c:v>
                </c:pt>
                <c:pt idx="1">
                  <c:v>Tas</c:v>
                </c:pt>
                <c:pt idx="2">
                  <c:v>NT</c:v>
                </c:pt>
                <c:pt idx="3">
                  <c:v>SA</c:v>
                </c:pt>
                <c:pt idx="4">
                  <c:v>WA</c:v>
                </c:pt>
                <c:pt idx="5">
                  <c:v>Vic</c:v>
                </c:pt>
                <c:pt idx="6">
                  <c:v>NSW</c:v>
                </c:pt>
                <c:pt idx="7">
                  <c:v>Qld</c:v>
                </c:pt>
                <c:pt idx="8">
                  <c:v>Comcare</c:v>
                </c:pt>
                <c:pt idx="9">
                  <c:v>Aus Av</c:v>
                </c:pt>
                <c:pt idx="10">
                  <c:v>NZ</c:v>
                </c:pt>
              </c:strCache>
            </c:strRef>
          </c:cat>
          <c:val>
            <c:numRef>
              <c:f>'Jurisdiction by industry'!$G$203:$G$213</c:f>
              <c:numCache>
                <c:formatCode>0.00</c:formatCode>
                <c:ptCount val="11"/>
                <c:pt idx="0">
                  <c:v>0.68877393364631778</c:v>
                </c:pt>
                <c:pt idx="1">
                  <c:v>0.59145585052085059</c:v>
                </c:pt>
                <c:pt idx="2">
                  <c:v>0.56930808551951539</c:v>
                </c:pt>
                <c:pt idx="3">
                  <c:v>0.35697360368886716</c:v>
                </c:pt>
                <c:pt idx="4">
                  <c:v>0.307364383222898</c:v>
                </c:pt>
                <c:pt idx="5">
                  <c:v>0.30117121285453752</c:v>
                </c:pt>
                <c:pt idx="6">
                  <c:v>0.23682761200930108</c:v>
                </c:pt>
                <c:pt idx="7">
                  <c:v>0.19841734007948622</c:v>
                </c:pt>
                <c:pt idx="8">
                  <c:v>0.16447894570587221</c:v>
                </c:pt>
                <c:pt idx="9">
                  <c:v>0.24494738600983929</c:v>
                </c:pt>
                <c:pt idx="10">
                  <c:v>0.10329876251749766</c:v>
                </c:pt>
              </c:numCache>
            </c:numRef>
          </c:val>
          <c:extLst>
            <c:ext xmlns:c16="http://schemas.microsoft.com/office/drawing/2014/chart" uri="{C3380CC4-5D6E-409C-BE32-E72D297353CC}">
              <c16:uniqueId val="{00000004-DC4D-4319-A04D-5B804A7621FB}"/>
            </c:ext>
          </c:extLst>
        </c:ser>
        <c:dLbls>
          <c:showLegendKey val="0"/>
          <c:showVal val="0"/>
          <c:showCatName val="0"/>
          <c:showSerName val="0"/>
          <c:showPercent val="0"/>
          <c:showBubbleSize val="0"/>
        </c:dLbls>
        <c:gapWidth val="150"/>
        <c:axId val="222254976"/>
        <c:axId val="222256512"/>
      </c:barChart>
      <c:lineChart>
        <c:grouping val="standard"/>
        <c:varyColors val="0"/>
        <c:ser>
          <c:idx val="4"/>
          <c:order val="5"/>
          <c:tx>
            <c:strRef>
              <c:f>'Jurisdiction by industry'!$H$201</c:f>
              <c:strCache>
                <c:ptCount val="1"/>
                <c:pt idx="0">
                  <c:v>2021-22 Aus av</c:v>
                </c:pt>
              </c:strCache>
            </c:strRef>
          </c:tx>
          <c:spPr>
            <a:ln>
              <a:solidFill>
                <a:srgbClr val="C10A27"/>
              </a:solidFill>
            </a:ln>
          </c:spPr>
          <c:marker>
            <c:symbol val="none"/>
          </c:marker>
          <c:val>
            <c:numRef>
              <c:f>'Jurisdiction by industry'!$H$203:$H$213</c:f>
              <c:numCache>
                <c:formatCode>0.00</c:formatCode>
                <c:ptCount val="11"/>
                <c:pt idx="0">
                  <c:v>0.24494738600983929</c:v>
                </c:pt>
                <c:pt idx="1">
                  <c:v>0.24494738600983929</c:v>
                </c:pt>
                <c:pt idx="2">
                  <c:v>0.24494738600983929</c:v>
                </c:pt>
                <c:pt idx="3">
                  <c:v>0.24494738600983929</c:v>
                </c:pt>
                <c:pt idx="4">
                  <c:v>0.24494738600983929</c:v>
                </c:pt>
                <c:pt idx="5">
                  <c:v>0.24494738600983929</c:v>
                </c:pt>
                <c:pt idx="6">
                  <c:v>0.24494738600983929</c:v>
                </c:pt>
                <c:pt idx="7">
                  <c:v>0.24494738600983929</c:v>
                </c:pt>
                <c:pt idx="8">
                  <c:v>0.24494738600983929</c:v>
                </c:pt>
              </c:numCache>
            </c:numRef>
          </c:val>
          <c:smooth val="0"/>
          <c:extLst>
            <c:ext xmlns:c16="http://schemas.microsoft.com/office/drawing/2014/chart" uri="{C3380CC4-5D6E-409C-BE32-E72D297353CC}">
              <c16:uniqueId val="{00000005-DC4D-4319-A04D-5B804A7621FB}"/>
            </c:ext>
          </c:extLst>
        </c:ser>
        <c:dLbls>
          <c:showLegendKey val="0"/>
          <c:showVal val="0"/>
          <c:showCatName val="0"/>
          <c:showSerName val="0"/>
          <c:showPercent val="0"/>
          <c:showBubbleSize val="0"/>
        </c:dLbls>
        <c:marker val="1"/>
        <c:smooth val="0"/>
        <c:axId val="222254976"/>
        <c:axId val="222256512"/>
      </c:lineChart>
      <c:catAx>
        <c:axId val="2222549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56512"/>
        <c:crosses val="autoZero"/>
        <c:auto val="1"/>
        <c:lblAlgn val="ctr"/>
        <c:lblOffset val="100"/>
        <c:tickMarkSkip val="1"/>
        <c:noMultiLvlLbl val="0"/>
      </c:catAx>
      <c:valAx>
        <c:axId val="222256512"/>
        <c:scaling>
          <c:orientation val="minMax"/>
          <c:max val="1"/>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72109003605E-2"/>
              <c:y val="0.232675361013193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254976"/>
        <c:crosses val="autoZero"/>
        <c:crossBetween val="between"/>
        <c:majorUnit val="0.2"/>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5026913238924715E-2"/>
          <c:w val="0.7656060158896929"/>
          <c:h val="0.55045055592801506"/>
        </c:manualLayout>
      </c:layout>
      <c:barChart>
        <c:barDir val="col"/>
        <c:grouping val="clustered"/>
        <c:varyColors val="0"/>
        <c:ser>
          <c:idx val="6"/>
          <c:order val="0"/>
          <c:tx>
            <c:strRef>
              <c:f>'Jurisdiction by industry'!$C$221</c:f>
              <c:strCache>
                <c:ptCount val="1"/>
                <c:pt idx="0">
                  <c:v>2017-18</c:v>
                </c:pt>
              </c:strCache>
            </c:strRef>
          </c:tx>
          <c:spPr>
            <a:solidFill>
              <a:srgbClr val="D9D9D9"/>
            </a:solidFill>
            <a:ln w="6350">
              <a:solidFill>
                <a:sysClr val="windowText" lastClr="000000"/>
              </a:solidFill>
            </a:ln>
          </c:spPr>
          <c:invertIfNegative val="0"/>
          <c:cat>
            <c:strRef>
              <c:f>'Jurisdiction by industry'!$A$222:$A$232</c:f>
              <c:strCache>
                <c:ptCount val="11"/>
                <c:pt idx="0">
                  <c:v>ACT Private</c:v>
                </c:pt>
                <c:pt idx="1">
                  <c:v>NT</c:v>
                </c:pt>
                <c:pt idx="2">
                  <c:v>WA</c:v>
                </c:pt>
                <c:pt idx="3">
                  <c:v>SA</c:v>
                </c:pt>
                <c:pt idx="4">
                  <c:v>NSW</c:v>
                </c:pt>
                <c:pt idx="5">
                  <c:v>Tas</c:v>
                </c:pt>
                <c:pt idx="6">
                  <c:v>Vic</c:v>
                </c:pt>
                <c:pt idx="7">
                  <c:v>Qld</c:v>
                </c:pt>
                <c:pt idx="8">
                  <c:v>Comcare</c:v>
                </c:pt>
                <c:pt idx="9">
                  <c:v>Aus Av</c:v>
                </c:pt>
                <c:pt idx="10">
                  <c:v>NZ</c:v>
                </c:pt>
              </c:strCache>
            </c:strRef>
          </c:cat>
          <c:val>
            <c:numRef>
              <c:f>'Jurisdiction by industry'!$C$222:$C$232</c:f>
              <c:numCache>
                <c:formatCode>0.00</c:formatCode>
                <c:ptCount val="11"/>
                <c:pt idx="0">
                  <c:v>0.81252331167116221</c:v>
                </c:pt>
                <c:pt idx="1">
                  <c:v>0.74760846427047312</c:v>
                </c:pt>
                <c:pt idx="2">
                  <c:v>0.65518679111885147</c:v>
                </c:pt>
                <c:pt idx="3">
                  <c:v>0.89645198139227134</c:v>
                </c:pt>
                <c:pt idx="4">
                  <c:v>0.66216194062555656</c:v>
                </c:pt>
                <c:pt idx="5">
                  <c:v>0.70997519305407197</c:v>
                </c:pt>
                <c:pt idx="6">
                  <c:v>0.68559853580090846</c:v>
                </c:pt>
                <c:pt idx="7">
                  <c:v>0.58894895160186045</c:v>
                </c:pt>
                <c:pt idx="8">
                  <c:v>0.91745492898041991</c:v>
                </c:pt>
                <c:pt idx="9">
                  <c:v>0.66755820151674783</c:v>
                </c:pt>
                <c:pt idx="10">
                  <c:v>0.44630292595147347</c:v>
                </c:pt>
              </c:numCache>
            </c:numRef>
          </c:val>
          <c:extLst>
            <c:ext xmlns:c16="http://schemas.microsoft.com/office/drawing/2014/chart" uri="{C3380CC4-5D6E-409C-BE32-E72D297353CC}">
              <c16:uniqueId val="{00000000-C68E-4088-AE8D-A4E1E4A170F6}"/>
            </c:ext>
          </c:extLst>
        </c:ser>
        <c:ser>
          <c:idx val="0"/>
          <c:order val="1"/>
          <c:tx>
            <c:strRef>
              <c:f>'Jurisdiction by industry'!$D$221</c:f>
              <c:strCache>
                <c:ptCount val="1"/>
                <c:pt idx="0">
                  <c:v>2018-19</c:v>
                </c:pt>
              </c:strCache>
            </c:strRef>
          </c:tx>
          <c:spPr>
            <a:solidFill>
              <a:srgbClr val="A6A6A6"/>
            </a:solidFill>
            <a:ln w="6350">
              <a:solidFill>
                <a:sysClr val="windowText" lastClr="000000"/>
              </a:solidFill>
            </a:ln>
          </c:spPr>
          <c:invertIfNegative val="0"/>
          <c:cat>
            <c:strRef>
              <c:f>'Jurisdiction by industry'!$A$222:$A$232</c:f>
              <c:strCache>
                <c:ptCount val="11"/>
                <c:pt idx="0">
                  <c:v>ACT Private</c:v>
                </c:pt>
                <c:pt idx="1">
                  <c:v>NT</c:v>
                </c:pt>
                <c:pt idx="2">
                  <c:v>WA</c:v>
                </c:pt>
                <c:pt idx="3">
                  <c:v>SA</c:v>
                </c:pt>
                <c:pt idx="4">
                  <c:v>NSW</c:v>
                </c:pt>
                <c:pt idx="5">
                  <c:v>Tas</c:v>
                </c:pt>
                <c:pt idx="6">
                  <c:v>Vic</c:v>
                </c:pt>
                <c:pt idx="7">
                  <c:v>Qld</c:v>
                </c:pt>
                <c:pt idx="8">
                  <c:v>Comcare</c:v>
                </c:pt>
                <c:pt idx="9">
                  <c:v>Aus Av</c:v>
                </c:pt>
                <c:pt idx="10">
                  <c:v>NZ</c:v>
                </c:pt>
              </c:strCache>
            </c:strRef>
          </c:cat>
          <c:val>
            <c:numRef>
              <c:f>'Jurisdiction by industry'!$D$222:$D$232</c:f>
              <c:numCache>
                <c:formatCode>0.00</c:formatCode>
                <c:ptCount val="11"/>
                <c:pt idx="0">
                  <c:v>0.86238198739900818</c:v>
                </c:pt>
                <c:pt idx="1">
                  <c:v>0.81394666366053614</c:v>
                </c:pt>
                <c:pt idx="2">
                  <c:v>0.76797172653281154</c:v>
                </c:pt>
                <c:pt idx="3">
                  <c:v>0.82350534537827624</c:v>
                </c:pt>
                <c:pt idx="4">
                  <c:v>0.70272539227003106</c:v>
                </c:pt>
                <c:pt idx="5">
                  <c:v>0.6538262123421883</c:v>
                </c:pt>
                <c:pt idx="6">
                  <c:v>0.73867408666745038</c:v>
                </c:pt>
                <c:pt idx="7">
                  <c:v>0.59636230307725746</c:v>
                </c:pt>
                <c:pt idx="8">
                  <c:v>0.78934342398136803</c:v>
                </c:pt>
                <c:pt idx="9">
                  <c:v>0.70632981380937754</c:v>
                </c:pt>
                <c:pt idx="10">
                  <c:v>0.43710723445917921</c:v>
                </c:pt>
              </c:numCache>
            </c:numRef>
          </c:val>
          <c:extLst>
            <c:ext xmlns:c16="http://schemas.microsoft.com/office/drawing/2014/chart" uri="{C3380CC4-5D6E-409C-BE32-E72D297353CC}">
              <c16:uniqueId val="{00000001-C68E-4088-AE8D-A4E1E4A170F6}"/>
            </c:ext>
          </c:extLst>
        </c:ser>
        <c:ser>
          <c:idx val="1"/>
          <c:order val="2"/>
          <c:tx>
            <c:strRef>
              <c:f>'Jurisdiction by industry'!$E$221</c:f>
              <c:strCache>
                <c:ptCount val="1"/>
                <c:pt idx="0">
                  <c:v>2019-20</c:v>
                </c:pt>
              </c:strCache>
            </c:strRef>
          </c:tx>
          <c:spPr>
            <a:solidFill>
              <a:srgbClr val="5F5E5E"/>
            </a:solidFill>
            <a:ln w="6350">
              <a:solidFill>
                <a:sysClr val="windowText" lastClr="000000"/>
              </a:solidFill>
            </a:ln>
          </c:spPr>
          <c:invertIfNegative val="0"/>
          <c:cat>
            <c:strRef>
              <c:f>'Jurisdiction by industry'!$A$222:$A$232</c:f>
              <c:strCache>
                <c:ptCount val="11"/>
                <c:pt idx="0">
                  <c:v>ACT Private</c:v>
                </c:pt>
                <c:pt idx="1">
                  <c:v>NT</c:v>
                </c:pt>
                <c:pt idx="2">
                  <c:v>WA</c:v>
                </c:pt>
                <c:pt idx="3">
                  <c:v>SA</c:v>
                </c:pt>
                <c:pt idx="4">
                  <c:v>NSW</c:v>
                </c:pt>
                <c:pt idx="5">
                  <c:v>Tas</c:v>
                </c:pt>
                <c:pt idx="6">
                  <c:v>Vic</c:v>
                </c:pt>
                <c:pt idx="7">
                  <c:v>Qld</c:v>
                </c:pt>
                <c:pt idx="8">
                  <c:v>Comcare</c:v>
                </c:pt>
                <c:pt idx="9">
                  <c:v>Aus Av</c:v>
                </c:pt>
                <c:pt idx="10">
                  <c:v>NZ</c:v>
                </c:pt>
              </c:strCache>
            </c:strRef>
          </c:cat>
          <c:val>
            <c:numRef>
              <c:f>'Jurisdiction by industry'!$E$222:$E$232</c:f>
              <c:numCache>
                <c:formatCode>0.00</c:formatCode>
                <c:ptCount val="11"/>
                <c:pt idx="0">
                  <c:v>0.94108307316889439</c:v>
                </c:pt>
                <c:pt idx="1">
                  <c:v>1.0535931303555688</c:v>
                </c:pt>
                <c:pt idx="2">
                  <c:v>0.76648357677438161</c:v>
                </c:pt>
                <c:pt idx="3">
                  <c:v>0.85267397009504942</c:v>
                </c:pt>
                <c:pt idx="4">
                  <c:v>0.72074328826105916</c:v>
                </c:pt>
                <c:pt idx="5">
                  <c:v>0.69473216254623282</c:v>
                </c:pt>
                <c:pt idx="6">
                  <c:v>0.71879027764730041</c:v>
                </c:pt>
                <c:pt idx="7">
                  <c:v>0.61579310541029453</c:v>
                </c:pt>
                <c:pt idx="8">
                  <c:v>0.6627924873427461</c:v>
                </c:pt>
                <c:pt idx="9">
                  <c:v>0.71568084412735744</c:v>
                </c:pt>
                <c:pt idx="10">
                  <c:v>0.39606860030488422</c:v>
                </c:pt>
              </c:numCache>
            </c:numRef>
          </c:val>
          <c:extLst>
            <c:ext xmlns:c16="http://schemas.microsoft.com/office/drawing/2014/chart" uri="{C3380CC4-5D6E-409C-BE32-E72D297353CC}">
              <c16:uniqueId val="{00000002-C68E-4088-AE8D-A4E1E4A170F6}"/>
            </c:ext>
          </c:extLst>
        </c:ser>
        <c:ser>
          <c:idx val="2"/>
          <c:order val="3"/>
          <c:tx>
            <c:strRef>
              <c:f>'Jurisdiction by industry'!$F$221</c:f>
              <c:strCache>
                <c:ptCount val="1"/>
                <c:pt idx="0">
                  <c:v>2020-21</c:v>
                </c:pt>
              </c:strCache>
            </c:strRef>
          </c:tx>
          <c:spPr>
            <a:solidFill>
              <a:srgbClr val="3C3C3E"/>
            </a:solidFill>
            <a:ln w="6350">
              <a:solidFill>
                <a:sysClr val="windowText" lastClr="000000"/>
              </a:solidFill>
            </a:ln>
          </c:spPr>
          <c:invertIfNegative val="0"/>
          <c:cat>
            <c:strRef>
              <c:f>'Jurisdiction by industry'!$A$222:$A$232</c:f>
              <c:strCache>
                <c:ptCount val="11"/>
                <c:pt idx="0">
                  <c:v>ACT Private</c:v>
                </c:pt>
                <c:pt idx="1">
                  <c:v>NT</c:v>
                </c:pt>
                <c:pt idx="2">
                  <c:v>WA</c:v>
                </c:pt>
                <c:pt idx="3">
                  <c:v>SA</c:v>
                </c:pt>
                <c:pt idx="4">
                  <c:v>NSW</c:v>
                </c:pt>
                <c:pt idx="5">
                  <c:v>Tas</c:v>
                </c:pt>
                <c:pt idx="6">
                  <c:v>Vic</c:v>
                </c:pt>
                <c:pt idx="7">
                  <c:v>Qld</c:v>
                </c:pt>
                <c:pt idx="8">
                  <c:v>Comcare</c:v>
                </c:pt>
                <c:pt idx="9">
                  <c:v>Aus Av</c:v>
                </c:pt>
                <c:pt idx="10">
                  <c:v>NZ</c:v>
                </c:pt>
              </c:strCache>
            </c:strRef>
          </c:cat>
          <c:val>
            <c:numRef>
              <c:f>'Jurisdiction by industry'!$F$222:$F$232</c:f>
              <c:numCache>
                <c:formatCode>0.00</c:formatCode>
                <c:ptCount val="11"/>
                <c:pt idx="0">
                  <c:v>0.94063766386139869</c:v>
                </c:pt>
                <c:pt idx="1">
                  <c:v>0.81882780733897742</c:v>
                </c:pt>
                <c:pt idx="2">
                  <c:v>0.8155755983813523</c:v>
                </c:pt>
                <c:pt idx="3">
                  <c:v>0.82980189490338352</c:v>
                </c:pt>
                <c:pt idx="4">
                  <c:v>0.74706935309298694</c:v>
                </c:pt>
                <c:pt idx="5">
                  <c:v>0.64386923575004662</c:v>
                </c:pt>
                <c:pt idx="6">
                  <c:v>0.71875942517373104</c:v>
                </c:pt>
                <c:pt idx="7">
                  <c:v>0.62111007513506011</c:v>
                </c:pt>
                <c:pt idx="8">
                  <c:v>0.42411932803208974</c:v>
                </c:pt>
                <c:pt idx="9">
                  <c:v>0.73130679273525301</c:v>
                </c:pt>
                <c:pt idx="10">
                  <c:v>0.3771456714718695</c:v>
                </c:pt>
              </c:numCache>
            </c:numRef>
          </c:val>
          <c:extLst>
            <c:ext xmlns:c16="http://schemas.microsoft.com/office/drawing/2014/chart" uri="{C3380CC4-5D6E-409C-BE32-E72D297353CC}">
              <c16:uniqueId val="{00000003-C68E-4088-AE8D-A4E1E4A170F6}"/>
            </c:ext>
          </c:extLst>
        </c:ser>
        <c:ser>
          <c:idx val="3"/>
          <c:order val="4"/>
          <c:tx>
            <c:strRef>
              <c:f>'Jurisdiction by industry'!$G$221</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industry'!$A$222:$A$232</c:f>
              <c:strCache>
                <c:ptCount val="11"/>
                <c:pt idx="0">
                  <c:v>ACT Private</c:v>
                </c:pt>
                <c:pt idx="1">
                  <c:v>NT</c:v>
                </c:pt>
                <c:pt idx="2">
                  <c:v>WA</c:v>
                </c:pt>
                <c:pt idx="3">
                  <c:v>SA</c:v>
                </c:pt>
                <c:pt idx="4">
                  <c:v>NSW</c:v>
                </c:pt>
                <c:pt idx="5">
                  <c:v>Tas</c:v>
                </c:pt>
                <c:pt idx="6">
                  <c:v>Vic</c:v>
                </c:pt>
                <c:pt idx="7">
                  <c:v>Qld</c:v>
                </c:pt>
                <c:pt idx="8">
                  <c:v>Comcare</c:v>
                </c:pt>
                <c:pt idx="9">
                  <c:v>Aus Av</c:v>
                </c:pt>
                <c:pt idx="10">
                  <c:v>NZ</c:v>
                </c:pt>
              </c:strCache>
            </c:strRef>
          </c:cat>
          <c:val>
            <c:numRef>
              <c:f>'Jurisdiction by industry'!$G$222:$G$232</c:f>
              <c:numCache>
                <c:formatCode>0.00</c:formatCode>
                <c:ptCount val="11"/>
                <c:pt idx="0">
                  <c:v>1.0317394280567587</c:v>
                </c:pt>
                <c:pt idx="1">
                  <c:v>0.88690950707652738</c:v>
                </c:pt>
                <c:pt idx="2">
                  <c:v>0.87821882077672808</c:v>
                </c:pt>
                <c:pt idx="3">
                  <c:v>0.81080546992448932</c:v>
                </c:pt>
                <c:pt idx="4">
                  <c:v>0.76362640159171224</c:v>
                </c:pt>
                <c:pt idx="5">
                  <c:v>0.68564340900385012</c:v>
                </c:pt>
                <c:pt idx="6">
                  <c:v>0.67266930749648868</c:v>
                </c:pt>
                <c:pt idx="7">
                  <c:v>0.61514939924884482</c:v>
                </c:pt>
                <c:pt idx="8">
                  <c:v>0.38466517171694725</c:v>
                </c:pt>
                <c:pt idx="9">
                  <c:v>0.73264727172817401</c:v>
                </c:pt>
                <c:pt idx="10">
                  <c:v>0.38367321764560997</c:v>
                </c:pt>
              </c:numCache>
            </c:numRef>
          </c:val>
          <c:extLst>
            <c:ext xmlns:c16="http://schemas.microsoft.com/office/drawing/2014/chart" uri="{C3380CC4-5D6E-409C-BE32-E72D297353CC}">
              <c16:uniqueId val="{00000004-C68E-4088-AE8D-A4E1E4A170F6}"/>
            </c:ext>
          </c:extLst>
        </c:ser>
        <c:dLbls>
          <c:showLegendKey val="0"/>
          <c:showVal val="0"/>
          <c:showCatName val="0"/>
          <c:showSerName val="0"/>
          <c:showPercent val="0"/>
          <c:showBubbleSize val="0"/>
        </c:dLbls>
        <c:gapWidth val="150"/>
        <c:axId val="222311936"/>
        <c:axId val="222313472"/>
      </c:barChart>
      <c:lineChart>
        <c:grouping val="standard"/>
        <c:varyColors val="0"/>
        <c:ser>
          <c:idx val="4"/>
          <c:order val="5"/>
          <c:tx>
            <c:strRef>
              <c:f>'Jurisdiction by industry'!$H$220</c:f>
              <c:strCache>
                <c:ptCount val="1"/>
                <c:pt idx="0">
                  <c:v>2021-22 Aus av</c:v>
                </c:pt>
              </c:strCache>
            </c:strRef>
          </c:tx>
          <c:spPr>
            <a:ln>
              <a:solidFill>
                <a:srgbClr val="C10A27"/>
              </a:solidFill>
            </a:ln>
          </c:spPr>
          <c:marker>
            <c:symbol val="none"/>
          </c:marker>
          <c:val>
            <c:numRef>
              <c:f>'Jurisdiction by industry'!$H$222:$H$232</c:f>
              <c:numCache>
                <c:formatCode>0.00</c:formatCode>
                <c:ptCount val="11"/>
                <c:pt idx="0">
                  <c:v>0.73264727172817401</c:v>
                </c:pt>
                <c:pt idx="1">
                  <c:v>0.73264727172817401</c:v>
                </c:pt>
                <c:pt idx="2">
                  <c:v>0.73264727172817401</c:v>
                </c:pt>
                <c:pt idx="3">
                  <c:v>0.73264727172817401</c:v>
                </c:pt>
                <c:pt idx="4">
                  <c:v>0.73264727172817401</c:v>
                </c:pt>
                <c:pt idx="5">
                  <c:v>0.73264727172817401</c:v>
                </c:pt>
                <c:pt idx="6">
                  <c:v>0.73264727172817401</c:v>
                </c:pt>
                <c:pt idx="7">
                  <c:v>0.73264727172817401</c:v>
                </c:pt>
                <c:pt idx="8">
                  <c:v>0.73264727172817401</c:v>
                </c:pt>
              </c:numCache>
            </c:numRef>
          </c:val>
          <c:smooth val="0"/>
          <c:extLst>
            <c:ext xmlns:c16="http://schemas.microsoft.com/office/drawing/2014/chart" uri="{C3380CC4-5D6E-409C-BE32-E72D297353CC}">
              <c16:uniqueId val="{00000005-C68E-4088-AE8D-A4E1E4A170F6}"/>
            </c:ext>
          </c:extLst>
        </c:ser>
        <c:dLbls>
          <c:showLegendKey val="0"/>
          <c:showVal val="0"/>
          <c:showCatName val="0"/>
          <c:showSerName val="0"/>
          <c:showPercent val="0"/>
          <c:showBubbleSize val="0"/>
        </c:dLbls>
        <c:marker val="1"/>
        <c:smooth val="0"/>
        <c:axId val="222311936"/>
        <c:axId val="222313472"/>
      </c:lineChart>
      <c:catAx>
        <c:axId val="222311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313472"/>
        <c:crosses val="autoZero"/>
        <c:auto val="1"/>
        <c:lblAlgn val="ctr"/>
        <c:lblOffset val="100"/>
        <c:tickMarkSkip val="1"/>
        <c:noMultiLvlLbl val="0"/>
      </c:catAx>
      <c:valAx>
        <c:axId val="222313472"/>
        <c:scaling>
          <c:orientation val="minMax"/>
          <c:max val="1.2"/>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216456914823E-2"/>
              <c:y val="0.21509030856847486"/>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311936"/>
        <c:crosses val="autoZero"/>
        <c:crossBetween val="between"/>
        <c:majorUnit val="0.2"/>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7089946910586669E-2"/>
          <c:w val="0.79797584637363372"/>
          <c:h val="0.54648772902669862"/>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rgbClr val="000000"/>
              </a:solidFill>
            </a:ln>
          </c:spPr>
          <c:invertIfNegative val="0"/>
          <c:cat>
            <c:strRef>
              <c:f>'Jurisdiction by industry'!$A$241:$A$251</c:f>
              <c:strCache>
                <c:ptCount val="11"/>
                <c:pt idx="0">
                  <c:v>NT</c:v>
                </c:pt>
                <c:pt idx="1">
                  <c:v>Tas</c:v>
                </c:pt>
                <c:pt idx="2">
                  <c:v>Comcare</c:v>
                </c:pt>
                <c:pt idx="3">
                  <c:v>WA</c:v>
                </c:pt>
                <c:pt idx="4">
                  <c:v>ACT Private</c:v>
                </c:pt>
                <c:pt idx="5">
                  <c:v>SA</c:v>
                </c:pt>
                <c:pt idx="6">
                  <c:v>NSW</c:v>
                </c:pt>
                <c:pt idx="7">
                  <c:v>Vic</c:v>
                </c:pt>
                <c:pt idx="8">
                  <c:v>Qld</c:v>
                </c:pt>
                <c:pt idx="9">
                  <c:v>Aus Av</c:v>
                </c:pt>
                <c:pt idx="10">
                  <c:v>NZ</c:v>
                </c:pt>
              </c:strCache>
            </c:strRef>
          </c:cat>
          <c:val>
            <c:numRef>
              <c:f>'Jurisdiction by industry'!$C$241:$C$251</c:f>
              <c:numCache>
                <c:formatCode>0.00</c:formatCode>
                <c:ptCount val="11"/>
                <c:pt idx="0">
                  <c:v>1.1836205262544874</c:v>
                </c:pt>
                <c:pt idx="1">
                  <c:v>0.68714309548485586</c:v>
                </c:pt>
                <c:pt idx="2">
                  <c:v>0.5189970337765365</c:v>
                </c:pt>
                <c:pt idx="3">
                  <c:v>0.31603071049219694</c:v>
                </c:pt>
                <c:pt idx="4">
                  <c:v>0.38678953223711671</c:v>
                </c:pt>
                <c:pt idx="5">
                  <c:v>0.36872701810847702</c:v>
                </c:pt>
                <c:pt idx="6">
                  <c:v>0.27781527518064697</c:v>
                </c:pt>
                <c:pt idx="7">
                  <c:v>0.27556082680787836</c:v>
                </c:pt>
                <c:pt idx="8">
                  <c:v>0.22298820362331609</c:v>
                </c:pt>
                <c:pt idx="9">
                  <c:v>0.28997026905237644</c:v>
                </c:pt>
                <c:pt idx="10">
                  <c:v>0.16829445687370082</c:v>
                </c:pt>
              </c:numCache>
            </c:numRef>
          </c:val>
          <c:extLst>
            <c:ext xmlns:c16="http://schemas.microsoft.com/office/drawing/2014/chart" uri="{C3380CC4-5D6E-409C-BE32-E72D297353CC}">
              <c16:uniqueId val="{00000000-850D-4C74-B3D6-190254C7F92E}"/>
            </c:ext>
          </c:extLst>
        </c:ser>
        <c:ser>
          <c:idx val="0"/>
          <c:order val="1"/>
          <c:tx>
            <c:strRef>
              <c:f>'Jurisdiction by industry'!$D$240</c:f>
              <c:strCache>
                <c:ptCount val="1"/>
                <c:pt idx="0">
                  <c:v>2018-19</c:v>
                </c:pt>
              </c:strCache>
            </c:strRef>
          </c:tx>
          <c:spPr>
            <a:solidFill>
              <a:srgbClr val="A6A6A6"/>
            </a:solidFill>
            <a:ln w="6350">
              <a:solidFill>
                <a:srgbClr val="000000"/>
              </a:solidFill>
            </a:ln>
          </c:spPr>
          <c:invertIfNegative val="0"/>
          <c:cat>
            <c:strRef>
              <c:f>'Jurisdiction by industry'!$A$241:$A$251</c:f>
              <c:strCache>
                <c:ptCount val="11"/>
                <c:pt idx="0">
                  <c:v>NT</c:v>
                </c:pt>
                <c:pt idx="1">
                  <c:v>Tas</c:v>
                </c:pt>
                <c:pt idx="2">
                  <c:v>Comcare</c:v>
                </c:pt>
                <c:pt idx="3">
                  <c:v>WA</c:v>
                </c:pt>
                <c:pt idx="4">
                  <c:v>ACT Private</c:v>
                </c:pt>
                <c:pt idx="5">
                  <c:v>SA</c:v>
                </c:pt>
                <c:pt idx="6">
                  <c:v>NSW</c:v>
                </c:pt>
                <c:pt idx="7">
                  <c:v>Vic</c:v>
                </c:pt>
                <c:pt idx="8">
                  <c:v>Qld</c:v>
                </c:pt>
                <c:pt idx="9">
                  <c:v>Aus Av</c:v>
                </c:pt>
                <c:pt idx="10">
                  <c:v>NZ</c:v>
                </c:pt>
              </c:strCache>
            </c:strRef>
          </c:cat>
          <c:val>
            <c:numRef>
              <c:f>'Jurisdiction by industry'!$D$241:$D$251</c:f>
              <c:numCache>
                <c:formatCode>0.00</c:formatCode>
                <c:ptCount val="11"/>
                <c:pt idx="0">
                  <c:v>1.5529916961723484</c:v>
                </c:pt>
                <c:pt idx="1">
                  <c:v>0.63766423347017887</c:v>
                </c:pt>
                <c:pt idx="2">
                  <c:v>0.4415331944209625</c:v>
                </c:pt>
                <c:pt idx="3">
                  <c:v>0.32582779814108265</c:v>
                </c:pt>
                <c:pt idx="4">
                  <c:v>0.36669235045819254</c:v>
                </c:pt>
                <c:pt idx="5">
                  <c:v>0.34564501917256724</c:v>
                </c:pt>
                <c:pt idx="6">
                  <c:v>0.27904371055621774</c:v>
                </c:pt>
                <c:pt idx="7">
                  <c:v>0.2695535535203209</c:v>
                </c:pt>
                <c:pt idx="8">
                  <c:v>0.2216302980367589</c:v>
                </c:pt>
                <c:pt idx="9">
                  <c:v>0.28747418499239663</c:v>
                </c:pt>
                <c:pt idx="10">
                  <c:v>0.16180402197793731</c:v>
                </c:pt>
              </c:numCache>
            </c:numRef>
          </c:val>
          <c:extLst>
            <c:ext xmlns:c16="http://schemas.microsoft.com/office/drawing/2014/chart" uri="{C3380CC4-5D6E-409C-BE32-E72D297353CC}">
              <c16:uniqueId val="{00000001-850D-4C74-B3D6-190254C7F92E}"/>
            </c:ext>
          </c:extLst>
        </c:ser>
        <c:ser>
          <c:idx val="1"/>
          <c:order val="2"/>
          <c:tx>
            <c:strRef>
              <c:f>'Jurisdiction by industry'!$E$240</c:f>
              <c:strCache>
                <c:ptCount val="1"/>
                <c:pt idx="0">
                  <c:v>2019-20</c:v>
                </c:pt>
              </c:strCache>
            </c:strRef>
          </c:tx>
          <c:spPr>
            <a:solidFill>
              <a:srgbClr val="595A5C"/>
            </a:solidFill>
            <a:ln w="6350">
              <a:solidFill>
                <a:srgbClr val="000000"/>
              </a:solidFill>
            </a:ln>
          </c:spPr>
          <c:invertIfNegative val="0"/>
          <c:cat>
            <c:strRef>
              <c:f>'Jurisdiction by industry'!$A$241:$A$251</c:f>
              <c:strCache>
                <c:ptCount val="11"/>
                <c:pt idx="0">
                  <c:v>NT</c:v>
                </c:pt>
                <c:pt idx="1">
                  <c:v>Tas</c:v>
                </c:pt>
                <c:pt idx="2">
                  <c:v>Comcare</c:v>
                </c:pt>
                <c:pt idx="3">
                  <c:v>WA</c:v>
                </c:pt>
                <c:pt idx="4">
                  <c:v>ACT Private</c:v>
                </c:pt>
                <c:pt idx="5">
                  <c:v>SA</c:v>
                </c:pt>
                <c:pt idx="6">
                  <c:v>NSW</c:v>
                </c:pt>
                <c:pt idx="7">
                  <c:v>Vic</c:v>
                </c:pt>
                <c:pt idx="8">
                  <c:v>Qld</c:v>
                </c:pt>
                <c:pt idx="9">
                  <c:v>Aus Av</c:v>
                </c:pt>
                <c:pt idx="10">
                  <c:v>NZ</c:v>
                </c:pt>
              </c:strCache>
            </c:strRef>
          </c:cat>
          <c:val>
            <c:numRef>
              <c:f>'Jurisdiction by industry'!$E$241:$E$251</c:f>
              <c:numCache>
                <c:formatCode>0.00</c:formatCode>
                <c:ptCount val="11"/>
                <c:pt idx="0">
                  <c:v>1.4487100718067027</c:v>
                </c:pt>
                <c:pt idx="1">
                  <c:v>0.62584237424638711</c:v>
                </c:pt>
                <c:pt idx="2">
                  <c:v>0.36768535126244378</c:v>
                </c:pt>
                <c:pt idx="3">
                  <c:v>0.33104880762611588</c:v>
                </c:pt>
                <c:pt idx="4">
                  <c:v>0.37061910720651159</c:v>
                </c:pt>
                <c:pt idx="5">
                  <c:v>0.33661366590572617</c:v>
                </c:pt>
                <c:pt idx="6">
                  <c:v>0.27788823538361745</c:v>
                </c:pt>
                <c:pt idx="7">
                  <c:v>0.27157408628164137</c:v>
                </c:pt>
                <c:pt idx="8">
                  <c:v>0.22112646131546235</c:v>
                </c:pt>
                <c:pt idx="9">
                  <c:v>0.28629075425749734</c:v>
                </c:pt>
                <c:pt idx="10">
                  <c:v>0.15102588184353846</c:v>
                </c:pt>
              </c:numCache>
            </c:numRef>
          </c:val>
          <c:extLst>
            <c:ext xmlns:c16="http://schemas.microsoft.com/office/drawing/2014/chart" uri="{C3380CC4-5D6E-409C-BE32-E72D297353CC}">
              <c16:uniqueId val="{00000002-850D-4C74-B3D6-190254C7F92E}"/>
            </c:ext>
          </c:extLst>
        </c:ser>
        <c:ser>
          <c:idx val="2"/>
          <c:order val="3"/>
          <c:tx>
            <c:strRef>
              <c:f>'Jurisdiction by industry'!$F$240</c:f>
              <c:strCache>
                <c:ptCount val="1"/>
                <c:pt idx="0">
                  <c:v>2020-21</c:v>
                </c:pt>
              </c:strCache>
            </c:strRef>
          </c:tx>
          <c:spPr>
            <a:solidFill>
              <a:srgbClr val="3C3C3E"/>
            </a:solidFill>
            <a:ln w="6350">
              <a:solidFill>
                <a:srgbClr val="000000"/>
              </a:solidFill>
            </a:ln>
          </c:spPr>
          <c:invertIfNegative val="0"/>
          <c:cat>
            <c:strRef>
              <c:f>'Jurisdiction by industry'!$A$241:$A$251</c:f>
              <c:strCache>
                <c:ptCount val="11"/>
                <c:pt idx="0">
                  <c:v>NT</c:v>
                </c:pt>
                <c:pt idx="1">
                  <c:v>Tas</c:v>
                </c:pt>
                <c:pt idx="2">
                  <c:v>Comcare</c:v>
                </c:pt>
                <c:pt idx="3">
                  <c:v>WA</c:v>
                </c:pt>
                <c:pt idx="4">
                  <c:v>ACT Private</c:v>
                </c:pt>
                <c:pt idx="5">
                  <c:v>SA</c:v>
                </c:pt>
                <c:pt idx="6">
                  <c:v>NSW</c:v>
                </c:pt>
                <c:pt idx="7">
                  <c:v>Vic</c:v>
                </c:pt>
                <c:pt idx="8">
                  <c:v>Qld</c:v>
                </c:pt>
                <c:pt idx="9">
                  <c:v>Aus Av</c:v>
                </c:pt>
                <c:pt idx="10">
                  <c:v>NZ</c:v>
                </c:pt>
              </c:strCache>
            </c:strRef>
          </c:cat>
          <c:val>
            <c:numRef>
              <c:f>'Jurisdiction by industry'!$F$241:$F$251</c:f>
              <c:numCache>
                <c:formatCode>0.00</c:formatCode>
                <c:ptCount val="11"/>
                <c:pt idx="0">
                  <c:v>1.3710133415102477</c:v>
                </c:pt>
                <c:pt idx="1">
                  <c:v>0.60791686412739399</c:v>
                </c:pt>
                <c:pt idx="2">
                  <c:v>0.37944459104534511</c:v>
                </c:pt>
                <c:pt idx="3">
                  <c:v>0.35019473991318645</c:v>
                </c:pt>
                <c:pt idx="4">
                  <c:v>0.36238728292265793</c:v>
                </c:pt>
                <c:pt idx="5">
                  <c:v>0.3621317836884429</c:v>
                </c:pt>
                <c:pt idx="6">
                  <c:v>0.28321227762888024</c:v>
                </c:pt>
                <c:pt idx="7">
                  <c:v>0.27586502420979125</c:v>
                </c:pt>
                <c:pt idx="8">
                  <c:v>0.22547818092428185</c:v>
                </c:pt>
                <c:pt idx="9">
                  <c:v>0.29286263965433901</c:v>
                </c:pt>
                <c:pt idx="10">
                  <c:v>0.14696454897849409</c:v>
                </c:pt>
              </c:numCache>
            </c:numRef>
          </c:val>
          <c:extLst>
            <c:ext xmlns:c16="http://schemas.microsoft.com/office/drawing/2014/chart" uri="{C3380CC4-5D6E-409C-BE32-E72D297353CC}">
              <c16:uniqueId val="{00000003-850D-4C74-B3D6-190254C7F92E}"/>
            </c:ext>
          </c:extLst>
        </c:ser>
        <c:ser>
          <c:idx val="3"/>
          <c:order val="4"/>
          <c:tx>
            <c:strRef>
              <c:f>'Jurisdiction by industry'!$G$240</c:f>
              <c:strCache>
                <c:ptCount val="1"/>
                <c:pt idx="0">
                  <c:v>2021-22</c:v>
                </c:pt>
              </c:strCache>
            </c:strRef>
          </c:tx>
          <c:spPr>
            <a:solidFill>
              <a:srgbClr val="C10A27"/>
            </a:solidFill>
            <a:ln w="6350">
              <a:solidFill>
                <a:srgbClr val="000000"/>
              </a:solidFill>
              <a:prstDash val="solid"/>
            </a:ln>
          </c:spPr>
          <c:invertIfNegative val="0"/>
          <c:cat>
            <c:strRef>
              <c:f>'Jurisdiction by industry'!$A$241:$A$251</c:f>
              <c:strCache>
                <c:ptCount val="11"/>
                <c:pt idx="0">
                  <c:v>NT</c:v>
                </c:pt>
                <c:pt idx="1">
                  <c:v>Tas</c:v>
                </c:pt>
                <c:pt idx="2">
                  <c:v>Comcare</c:v>
                </c:pt>
                <c:pt idx="3">
                  <c:v>WA</c:v>
                </c:pt>
                <c:pt idx="4">
                  <c:v>ACT Private</c:v>
                </c:pt>
                <c:pt idx="5">
                  <c:v>SA</c:v>
                </c:pt>
                <c:pt idx="6">
                  <c:v>NSW</c:v>
                </c:pt>
                <c:pt idx="7">
                  <c:v>Vic</c:v>
                </c:pt>
                <c:pt idx="8">
                  <c:v>Qld</c:v>
                </c:pt>
                <c:pt idx="9">
                  <c:v>Aus Av</c:v>
                </c:pt>
                <c:pt idx="10">
                  <c:v>NZ</c:v>
                </c:pt>
              </c:strCache>
            </c:strRef>
          </c:cat>
          <c:val>
            <c:numRef>
              <c:f>'Jurisdiction by industry'!$G$241:$G$251</c:f>
              <c:numCache>
                <c:formatCode>0.00</c:formatCode>
                <c:ptCount val="11"/>
                <c:pt idx="0">
                  <c:v>1.2778408127305165</c:v>
                </c:pt>
                <c:pt idx="1">
                  <c:v>0.62225420251331653</c:v>
                </c:pt>
                <c:pt idx="2">
                  <c:v>0.37778933906674972</c:v>
                </c:pt>
                <c:pt idx="3">
                  <c:v>0.36847290578421293</c:v>
                </c:pt>
                <c:pt idx="4">
                  <c:v>0.36733661793191807</c:v>
                </c:pt>
                <c:pt idx="5">
                  <c:v>0.36730863406689246</c:v>
                </c:pt>
                <c:pt idx="6">
                  <c:v>0.28312815746939307</c:v>
                </c:pt>
                <c:pt idx="7">
                  <c:v>0.27064877122450698</c:v>
                </c:pt>
                <c:pt idx="8">
                  <c:v>0.21918115442451586</c:v>
                </c:pt>
                <c:pt idx="9">
                  <c:v>0.29297733064125647</c:v>
                </c:pt>
                <c:pt idx="10">
                  <c:v>0.14507809999547175</c:v>
                </c:pt>
              </c:numCache>
            </c:numRef>
          </c:val>
          <c:extLst>
            <c:ext xmlns:c16="http://schemas.microsoft.com/office/drawing/2014/chart" uri="{C3380CC4-5D6E-409C-BE32-E72D297353CC}">
              <c16:uniqueId val="{00000004-850D-4C74-B3D6-190254C7F92E}"/>
            </c:ext>
          </c:extLst>
        </c:ser>
        <c:dLbls>
          <c:showLegendKey val="0"/>
          <c:showVal val="0"/>
          <c:showCatName val="0"/>
          <c:showSerName val="0"/>
          <c:showPercent val="0"/>
          <c:showBubbleSize val="0"/>
        </c:dLbls>
        <c:gapWidth val="150"/>
        <c:axId val="222377088"/>
        <c:axId val="222378624"/>
      </c:barChart>
      <c:lineChart>
        <c:grouping val="standard"/>
        <c:varyColors val="0"/>
        <c:ser>
          <c:idx val="4"/>
          <c:order val="5"/>
          <c:tx>
            <c:strRef>
              <c:f>'Jurisdiction by industry'!$H$239</c:f>
              <c:strCache>
                <c:ptCount val="1"/>
                <c:pt idx="0">
                  <c:v>2021-22 Aus av</c:v>
                </c:pt>
              </c:strCache>
            </c:strRef>
          </c:tx>
          <c:spPr>
            <a:ln>
              <a:solidFill>
                <a:srgbClr val="C10A27"/>
              </a:solidFill>
            </a:ln>
          </c:spPr>
          <c:marker>
            <c:symbol val="none"/>
          </c:marker>
          <c:val>
            <c:numRef>
              <c:f>'Jurisdiction by industry'!$H$241:$H$251</c:f>
              <c:numCache>
                <c:formatCode>0.00</c:formatCode>
                <c:ptCount val="11"/>
                <c:pt idx="0">
                  <c:v>0.29297733064125647</c:v>
                </c:pt>
                <c:pt idx="1">
                  <c:v>0.29297733064125647</c:v>
                </c:pt>
                <c:pt idx="2">
                  <c:v>0.29297733064125647</c:v>
                </c:pt>
                <c:pt idx="3">
                  <c:v>0.29297733064125647</c:v>
                </c:pt>
                <c:pt idx="4">
                  <c:v>0.29297733064125647</c:v>
                </c:pt>
                <c:pt idx="5">
                  <c:v>0.29297733064125647</c:v>
                </c:pt>
                <c:pt idx="6">
                  <c:v>0.29297733064125647</c:v>
                </c:pt>
                <c:pt idx="7">
                  <c:v>0.29297733064125647</c:v>
                </c:pt>
                <c:pt idx="8">
                  <c:v>0.29297733064125647</c:v>
                </c:pt>
              </c:numCache>
            </c:numRef>
          </c:val>
          <c:smooth val="0"/>
          <c:extLst>
            <c:ext xmlns:c16="http://schemas.microsoft.com/office/drawing/2014/chart" uri="{C3380CC4-5D6E-409C-BE32-E72D297353CC}">
              <c16:uniqueId val="{00000005-850D-4C74-B3D6-190254C7F92E}"/>
            </c:ext>
          </c:extLst>
        </c:ser>
        <c:dLbls>
          <c:showLegendKey val="0"/>
          <c:showVal val="0"/>
          <c:showCatName val="0"/>
          <c:showSerName val="0"/>
          <c:showPercent val="0"/>
          <c:showBubbleSize val="0"/>
        </c:dLbls>
        <c:marker val="1"/>
        <c:smooth val="0"/>
        <c:axId val="222377088"/>
        <c:axId val="222378624"/>
      </c:lineChart>
      <c:catAx>
        <c:axId val="2223770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378624"/>
        <c:crosses val="autoZero"/>
        <c:auto val="1"/>
        <c:lblAlgn val="ctr"/>
        <c:lblOffset val="100"/>
        <c:tickMarkSkip val="1"/>
        <c:noMultiLvlLbl val="0"/>
      </c:catAx>
      <c:valAx>
        <c:axId val="222378624"/>
        <c:scaling>
          <c:orientation val="minMax"/>
          <c:max val="2"/>
          <c:min val="0"/>
        </c:scaling>
        <c:delete val="0"/>
        <c:axPos val="l"/>
        <c:majorGridlines>
          <c:spPr>
            <a:ln w="3175">
              <a:solidFill>
                <a:srgbClr val="969696"/>
              </a:solidFill>
              <a:prstDash val="solid"/>
            </a:ln>
          </c:spPr>
        </c:majorGridlines>
        <c:min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48560455938E-2"/>
              <c:y val="0.2189123873828827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377088"/>
        <c:crosses val="autoZero"/>
        <c:crossBetween val="between"/>
        <c:majorUnit val="0.5"/>
        <c:minorUnit val="0.25"/>
      </c:valAx>
      <c:dTable>
        <c:showHorzBorder val="0"/>
        <c:showVertBorder val="0"/>
        <c:showOutline val="0"/>
        <c:showKeys val="1"/>
        <c:txPr>
          <a:bodyPr/>
          <a:lstStyle/>
          <a:p>
            <a:pPr rtl="0">
              <a:defRPr sz="800"/>
            </a:pPr>
            <a:endParaRPr lang="en-US"/>
          </a:p>
        </c:txPr>
      </c:dTable>
      <c:spPr>
        <a:ln w="3175">
          <a:solidFill>
            <a:srgbClr val="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6847763251702174E-2"/>
          <c:w val="0.7656060158896929"/>
          <c:h val="0.54280579343872559"/>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ysClr val="windowText" lastClr="000000"/>
              </a:solidFill>
            </a:ln>
          </c:spPr>
          <c:invertIfNegative val="0"/>
          <c:cat>
            <c:strRef>
              <c:f>'Jurisdiction by industry'!$A$262:$A$272</c:f>
              <c:strCache>
                <c:ptCount val="11"/>
                <c:pt idx="0">
                  <c:v>Tas</c:v>
                </c:pt>
                <c:pt idx="1">
                  <c:v>NSW</c:v>
                </c:pt>
                <c:pt idx="2">
                  <c:v>SA</c:v>
                </c:pt>
                <c:pt idx="3">
                  <c:v>ACT Private</c:v>
                </c:pt>
                <c:pt idx="4">
                  <c:v>Qld</c:v>
                </c:pt>
                <c:pt idx="5">
                  <c:v>WA</c:v>
                </c:pt>
                <c:pt idx="6">
                  <c:v>NT</c:v>
                </c:pt>
                <c:pt idx="7">
                  <c:v>Vic</c:v>
                </c:pt>
                <c:pt idx="8">
                  <c:v>Comcare</c:v>
                </c:pt>
                <c:pt idx="9">
                  <c:v>Aus Av</c:v>
                </c:pt>
                <c:pt idx="10">
                  <c:v>NZ</c:v>
                </c:pt>
              </c:strCache>
            </c:strRef>
          </c:cat>
          <c:val>
            <c:numRef>
              <c:f>'Jurisdiction by industry'!$C$262:$C$272</c:f>
              <c:numCache>
                <c:formatCode>0.00</c:formatCode>
                <c:ptCount val="11"/>
                <c:pt idx="0">
                  <c:v>2.5675033194405188</c:v>
                </c:pt>
                <c:pt idx="1">
                  <c:v>1.5557335181056908</c:v>
                </c:pt>
                <c:pt idx="2">
                  <c:v>2.1480087277686839</c:v>
                </c:pt>
                <c:pt idx="3">
                  <c:v>2.1109271689480793</c:v>
                </c:pt>
                <c:pt idx="4">
                  <c:v>1.4429915637449602</c:v>
                </c:pt>
                <c:pt idx="5">
                  <c:v>1.7062188886180711</c:v>
                </c:pt>
                <c:pt idx="6">
                  <c:v>1.2978213823606934</c:v>
                </c:pt>
                <c:pt idx="7">
                  <c:v>1.4745877793286595</c:v>
                </c:pt>
                <c:pt idx="8">
                  <c:v>0.26959795984182955</c:v>
                </c:pt>
                <c:pt idx="9">
                  <c:v>1.5771145026388378</c:v>
                </c:pt>
                <c:pt idx="10">
                  <c:v>0.65247604083641098</c:v>
                </c:pt>
              </c:numCache>
            </c:numRef>
          </c:val>
          <c:extLst>
            <c:ext xmlns:c16="http://schemas.microsoft.com/office/drawing/2014/chart" uri="{C3380CC4-5D6E-409C-BE32-E72D297353CC}">
              <c16:uniqueId val="{00000000-50A7-45D4-9274-589BA3A20566}"/>
            </c:ext>
          </c:extLst>
        </c:ser>
        <c:ser>
          <c:idx val="0"/>
          <c:order val="1"/>
          <c:tx>
            <c:strRef>
              <c:f>'Jurisdiction by industry'!$D$240</c:f>
              <c:strCache>
                <c:ptCount val="1"/>
                <c:pt idx="0">
                  <c:v>2018-19</c:v>
                </c:pt>
              </c:strCache>
            </c:strRef>
          </c:tx>
          <c:spPr>
            <a:solidFill>
              <a:srgbClr val="A6A6A6"/>
            </a:solidFill>
            <a:ln w="6350">
              <a:solidFill>
                <a:sysClr val="windowText" lastClr="000000"/>
              </a:solidFill>
            </a:ln>
          </c:spPr>
          <c:invertIfNegative val="0"/>
          <c:cat>
            <c:strRef>
              <c:f>'Jurisdiction by industry'!$A$262:$A$272</c:f>
              <c:strCache>
                <c:ptCount val="11"/>
                <c:pt idx="0">
                  <c:v>Tas</c:v>
                </c:pt>
                <c:pt idx="1">
                  <c:v>NSW</c:v>
                </c:pt>
                <c:pt idx="2">
                  <c:v>SA</c:v>
                </c:pt>
                <c:pt idx="3">
                  <c:v>ACT Private</c:v>
                </c:pt>
                <c:pt idx="4">
                  <c:v>Qld</c:v>
                </c:pt>
                <c:pt idx="5">
                  <c:v>WA</c:v>
                </c:pt>
                <c:pt idx="6">
                  <c:v>NT</c:v>
                </c:pt>
                <c:pt idx="7">
                  <c:v>Vic</c:v>
                </c:pt>
                <c:pt idx="8">
                  <c:v>Comcare</c:v>
                </c:pt>
                <c:pt idx="9">
                  <c:v>Aus Av</c:v>
                </c:pt>
                <c:pt idx="10">
                  <c:v>NZ</c:v>
                </c:pt>
              </c:strCache>
            </c:strRef>
          </c:cat>
          <c:val>
            <c:numRef>
              <c:f>'Jurisdiction by industry'!$D$262:$D$272</c:f>
              <c:numCache>
                <c:formatCode>0.00</c:formatCode>
                <c:ptCount val="11"/>
                <c:pt idx="0">
                  <c:v>2.5779015490941957</c:v>
                </c:pt>
                <c:pt idx="1">
                  <c:v>1.6048409194379345</c:v>
                </c:pt>
                <c:pt idx="2">
                  <c:v>1.8637365373541663</c:v>
                </c:pt>
                <c:pt idx="3">
                  <c:v>2.0915803061256155</c:v>
                </c:pt>
                <c:pt idx="4">
                  <c:v>1.5208394243831591</c:v>
                </c:pt>
                <c:pt idx="5">
                  <c:v>1.5607139572697666</c:v>
                </c:pt>
                <c:pt idx="6">
                  <c:v>1.3949797332156197</c:v>
                </c:pt>
                <c:pt idx="7">
                  <c:v>1.4880113286191083</c:v>
                </c:pt>
                <c:pt idx="8">
                  <c:v>0.22697098363095866</c:v>
                </c:pt>
                <c:pt idx="9">
                  <c:v>1.5906140792033581</c:v>
                </c:pt>
                <c:pt idx="10">
                  <c:v>0.67714147939356495</c:v>
                </c:pt>
              </c:numCache>
            </c:numRef>
          </c:val>
          <c:extLst>
            <c:ext xmlns:c16="http://schemas.microsoft.com/office/drawing/2014/chart" uri="{C3380CC4-5D6E-409C-BE32-E72D297353CC}">
              <c16:uniqueId val="{00000001-50A7-45D4-9274-589BA3A20566}"/>
            </c:ext>
          </c:extLst>
        </c:ser>
        <c:ser>
          <c:idx val="1"/>
          <c:order val="2"/>
          <c:tx>
            <c:strRef>
              <c:f>'Jurisdiction by industry'!$E$240</c:f>
              <c:strCache>
                <c:ptCount val="1"/>
                <c:pt idx="0">
                  <c:v>2019-20</c:v>
                </c:pt>
              </c:strCache>
            </c:strRef>
          </c:tx>
          <c:spPr>
            <a:solidFill>
              <a:srgbClr val="595A5C"/>
            </a:solidFill>
            <a:ln w="6350">
              <a:solidFill>
                <a:sysClr val="windowText" lastClr="000000"/>
              </a:solidFill>
            </a:ln>
          </c:spPr>
          <c:invertIfNegative val="0"/>
          <c:cat>
            <c:strRef>
              <c:f>'Jurisdiction by industry'!$A$262:$A$272</c:f>
              <c:strCache>
                <c:ptCount val="11"/>
                <c:pt idx="0">
                  <c:v>Tas</c:v>
                </c:pt>
                <c:pt idx="1">
                  <c:v>NSW</c:v>
                </c:pt>
                <c:pt idx="2">
                  <c:v>SA</c:v>
                </c:pt>
                <c:pt idx="3">
                  <c:v>ACT Private</c:v>
                </c:pt>
                <c:pt idx="4">
                  <c:v>Qld</c:v>
                </c:pt>
                <c:pt idx="5">
                  <c:v>WA</c:v>
                </c:pt>
                <c:pt idx="6">
                  <c:v>NT</c:v>
                </c:pt>
                <c:pt idx="7">
                  <c:v>Vic</c:v>
                </c:pt>
                <c:pt idx="8">
                  <c:v>Comcare</c:v>
                </c:pt>
                <c:pt idx="9">
                  <c:v>Aus Av</c:v>
                </c:pt>
                <c:pt idx="10">
                  <c:v>NZ</c:v>
                </c:pt>
              </c:strCache>
            </c:strRef>
          </c:cat>
          <c:val>
            <c:numRef>
              <c:f>'Jurisdiction by industry'!$E$262:$E$272</c:f>
              <c:numCache>
                <c:formatCode>0.00</c:formatCode>
                <c:ptCount val="11"/>
                <c:pt idx="0">
                  <c:v>2.1091675814532405</c:v>
                </c:pt>
                <c:pt idx="1">
                  <c:v>1.7529149226243121</c:v>
                </c:pt>
                <c:pt idx="2">
                  <c:v>1.7913280408458294</c:v>
                </c:pt>
                <c:pt idx="3">
                  <c:v>2.0262445153052089</c:v>
                </c:pt>
                <c:pt idx="4">
                  <c:v>1.4662969318756083</c:v>
                </c:pt>
                <c:pt idx="5">
                  <c:v>1.4250175420758822</c:v>
                </c:pt>
                <c:pt idx="6">
                  <c:v>1.5046137448690307</c:v>
                </c:pt>
                <c:pt idx="7">
                  <c:v>1.53075655231549</c:v>
                </c:pt>
                <c:pt idx="8">
                  <c:v>0.17465595477261445</c:v>
                </c:pt>
                <c:pt idx="9">
                  <c:v>1.6194368081648585</c:v>
                </c:pt>
                <c:pt idx="10">
                  <c:v>0.65978762985013795</c:v>
                </c:pt>
              </c:numCache>
            </c:numRef>
          </c:val>
          <c:extLst>
            <c:ext xmlns:c16="http://schemas.microsoft.com/office/drawing/2014/chart" uri="{C3380CC4-5D6E-409C-BE32-E72D297353CC}">
              <c16:uniqueId val="{00000002-50A7-45D4-9274-589BA3A20566}"/>
            </c:ext>
          </c:extLst>
        </c:ser>
        <c:ser>
          <c:idx val="2"/>
          <c:order val="3"/>
          <c:tx>
            <c:strRef>
              <c:f>'Jurisdiction by industry'!$F$240</c:f>
              <c:strCache>
                <c:ptCount val="1"/>
                <c:pt idx="0">
                  <c:v>2020-21</c:v>
                </c:pt>
              </c:strCache>
            </c:strRef>
          </c:tx>
          <c:spPr>
            <a:solidFill>
              <a:srgbClr val="3C3C3E"/>
            </a:solidFill>
            <a:ln w="6350">
              <a:solidFill>
                <a:sysClr val="windowText" lastClr="000000"/>
              </a:solidFill>
            </a:ln>
          </c:spPr>
          <c:invertIfNegative val="0"/>
          <c:cat>
            <c:strRef>
              <c:f>'Jurisdiction by industry'!$A$262:$A$272</c:f>
              <c:strCache>
                <c:ptCount val="11"/>
                <c:pt idx="0">
                  <c:v>Tas</c:v>
                </c:pt>
                <c:pt idx="1">
                  <c:v>NSW</c:v>
                </c:pt>
                <c:pt idx="2">
                  <c:v>SA</c:v>
                </c:pt>
                <c:pt idx="3">
                  <c:v>ACT Private</c:v>
                </c:pt>
                <c:pt idx="4">
                  <c:v>Qld</c:v>
                </c:pt>
                <c:pt idx="5">
                  <c:v>WA</c:v>
                </c:pt>
                <c:pt idx="6">
                  <c:v>NT</c:v>
                </c:pt>
                <c:pt idx="7">
                  <c:v>Vic</c:v>
                </c:pt>
                <c:pt idx="8">
                  <c:v>Comcare</c:v>
                </c:pt>
                <c:pt idx="9">
                  <c:v>Aus Av</c:v>
                </c:pt>
                <c:pt idx="10">
                  <c:v>NZ</c:v>
                </c:pt>
              </c:strCache>
            </c:strRef>
          </c:cat>
          <c:val>
            <c:numRef>
              <c:f>'Jurisdiction by industry'!$F$262:$F$272</c:f>
              <c:numCache>
                <c:formatCode>0.00</c:formatCode>
                <c:ptCount val="11"/>
                <c:pt idx="0">
                  <c:v>2.2430964570550662</c:v>
                </c:pt>
                <c:pt idx="1">
                  <c:v>2.0140115026354577</c:v>
                </c:pt>
                <c:pt idx="2">
                  <c:v>1.8763008345370376</c:v>
                </c:pt>
                <c:pt idx="3">
                  <c:v>1.8075314455579403</c:v>
                </c:pt>
                <c:pt idx="4">
                  <c:v>1.6376222133206977</c:v>
                </c:pt>
                <c:pt idx="5">
                  <c:v>1.5383668820796808</c:v>
                </c:pt>
                <c:pt idx="6">
                  <c:v>1.4865351296799261</c:v>
                </c:pt>
                <c:pt idx="7">
                  <c:v>1.5905300470271615</c:v>
                </c:pt>
                <c:pt idx="8">
                  <c:v>0.17336617215253727</c:v>
                </c:pt>
                <c:pt idx="9">
                  <c:v>1.7708124458930534</c:v>
                </c:pt>
                <c:pt idx="10">
                  <c:v>0.7003430375071954</c:v>
                </c:pt>
              </c:numCache>
            </c:numRef>
          </c:val>
          <c:extLst>
            <c:ext xmlns:c16="http://schemas.microsoft.com/office/drawing/2014/chart" uri="{C3380CC4-5D6E-409C-BE32-E72D297353CC}">
              <c16:uniqueId val="{00000003-50A7-45D4-9274-589BA3A20566}"/>
            </c:ext>
          </c:extLst>
        </c:ser>
        <c:ser>
          <c:idx val="3"/>
          <c:order val="4"/>
          <c:tx>
            <c:strRef>
              <c:f>'Jurisdiction by industry'!$G$240</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industry'!$A$262:$A$272</c:f>
              <c:strCache>
                <c:ptCount val="11"/>
                <c:pt idx="0">
                  <c:v>Tas</c:v>
                </c:pt>
                <c:pt idx="1">
                  <c:v>NSW</c:v>
                </c:pt>
                <c:pt idx="2">
                  <c:v>SA</c:v>
                </c:pt>
                <c:pt idx="3">
                  <c:v>ACT Private</c:v>
                </c:pt>
                <c:pt idx="4">
                  <c:v>Qld</c:v>
                </c:pt>
                <c:pt idx="5">
                  <c:v>WA</c:v>
                </c:pt>
                <c:pt idx="6">
                  <c:v>NT</c:v>
                </c:pt>
                <c:pt idx="7">
                  <c:v>Vic</c:v>
                </c:pt>
                <c:pt idx="8">
                  <c:v>Comcare</c:v>
                </c:pt>
                <c:pt idx="9">
                  <c:v>Aus Av</c:v>
                </c:pt>
                <c:pt idx="10">
                  <c:v>NZ</c:v>
                </c:pt>
              </c:strCache>
            </c:strRef>
          </c:cat>
          <c:val>
            <c:numRef>
              <c:f>'Jurisdiction by industry'!$G$262:$G$272</c:f>
              <c:numCache>
                <c:formatCode>0.00</c:formatCode>
                <c:ptCount val="11"/>
                <c:pt idx="0">
                  <c:v>2.5494666065975906</c:v>
                </c:pt>
                <c:pt idx="1">
                  <c:v>2.0001848545887335</c:v>
                </c:pt>
                <c:pt idx="2">
                  <c:v>1.7807578367195653</c:v>
                </c:pt>
                <c:pt idx="3">
                  <c:v>1.7753916996883317</c:v>
                </c:pt>
                <c:pt idx="4">
                  <c:v>1.6829263012750679</c:v>
                </c:pt>
                <c:pt idx="5">
                  <c:v>1.6598787779322328</c:v>
                </c:pt>
                <c:pt idx="6">
                  <c:v>1.5789350705525123</c:v>
                </c:pt>
                <c:pt idx="7">
                  <c:v>1.5344490295026518</c:v>
                </c:pt>
                <c:pt idx="8">
                  <c:v>0.15601981905721482</c:v>
                </c:pt>
                <c:pt idx="9">
                  <c:v>1.7580825742904278</c:v>
                </c:pt>
                <c:pt idx="10">
                  <c:v>0.70730020539002159</c:v>
                </c:pt>
              </c:numCache>
            </c:numRef>
          </c:val>
          <c:extLst>
            <c:ext xmlns:c16="http://schemas.microsoft.com/office/drawing/2014/chart" uri="{C3380CC4-5D6E-409C-BE32-E72D297353CC}">
              <c16:uniqueId val="{00000004-50A7-45D4-9274-589BA3A20566}"/>
            </c:ext>
          </c:extLst>
        </c:ser>
        <c:dLbls>
          <c:showLegendKey val="0"/>
          <c:showVal val="0"/>
          <c:showCatName val="0"/>
          <c:showSerName val="0"/>
          <c:showPercent val="0"/>
          <c:showBubbleSize val="0"/>
        </c:dLbls>
        <c:gapWidth val="150"/>
        <c:axId val="256408960"/>
        <c:axId val="256410752"/>
      </c:barChart>
      <c:lineChart>
        <c:grouping val="standard"/>
        <c:varyColors val="0"/>
        <c:ser>
          <c:idx val="4"/>
          <c:order val="5"/>
          <c:tx>
            <c:strRef>
              <c:f>'Jurisdiction by industry'!$H$260</c:f>
              <c:strCache>
                <c:ptCount val="1"/>
                <c:pt idx="0">
                  <c:v>2021-22 Aus av</c:v>
                </c:pt>
              </c:strCache>
            </c:strRef>
          </c:tx>
          <c:spPr>
            <a:ln>
              <a:solidFill>
                <a:srgbClr val="C10A27"/>
              </a:solidFill>
            </a:ln>
          </c:spPr>
          <c:marker>
            <c:symbol val="none"/>
          </c:marker>
          <c:val>
            <c:numRef>
              <c:f>'Jurisdiction by industry'!$H$262:$H$272</c:f>
              <c:numCache>
                <c:formatCode>0.00</c:formatCode>
                <c:ptCount val="11"/>
                <c:pt idx="0">
                  <c:v>1.7580825742904278</c:v>
                </c:pt>
                <c:pt idx="1">
                  <c:v>1.7580825742904278</c:v>
                </c:pt>
                <c:pt idx="2">
                  <c:v>1.7580825742904278</c:v>
                </c:pt>
                <c:pt idx="3">
                  <c:v>1.7580825742904278</c:v>
                </c:pt>
                <c:pt idx="4">
                  <c:v>1.7580825742904278</c:v>
                </c:pt>
                <c:pt idx="5">
                  <c:v>1.7580825742904278</c:v>
                </c:pt>
                <c:pt idx="6">
                  <c:v>1.7580825742904278</c:v>
                </c:pt>
                <c:pt idx="7">
                  <c:v>1.7580825742904278</c:v>
                </c:pt>
                <c:pt idx="8">
                  <c:v>1.7580825742904278</c:v>
                </c:pt>
              </c:numCache>
            </c:numRef>
          </c:val>
          <c:smooth val="0"/>
          <c:extLst>
            <c:ext xmlns:c16="http://schemas.microsoft.com/office/drawing/2014/chart" uri="{C3380CC4-5D6E-409C-BE32-E72D297353CC}">
              <c16:uniqueId val="{00000005-50A7-45D4-9274-589BA3A20566}"/>
            </c:ext>
          </c:extLst>
        </c:ser>
        <c:dLbls>
          <c:showLegendKey val="0"/>
          <c:showVal val="0"/>
          <c:showCatName val="0"/>
          <c:showSerName val="0"/>
          <c:showPercent val="0"/>
          <c:showBubbleSize val="0"/>
        </c:dLbls>
        <c:marker val="1"/>
        <c:smooth val="0"/>
        <c:axId val="256408960"/>
        <c:axId val="256410752"/>
      </c:lineChart>
      <c:catAx>
        <c:axId val="256408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6410752"/>
        <c:crosses val="autoZero"/>
        <c:auto val="1"/>
        <c:lblAlgn val="ctr"/>
        <c:lblOffset val="100"/>
        <c:tickMarkSkip val="1"/>
        <c:noMultiLvlLbl val="0"/>
      </c:catAx>
      <c:valAx>
        <c:axId val="256410752"/>
        <c:scaling>
          <c:orientation val="minMax"/>
          <c:max val="3"/>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67451540759E-2"/>
              <c:y val="0.2440368153131769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6408960"/>
        <c:crosses val="autoZero"/>
        <c:crossBetween val="between"/>
        <c:majorUnit val="0.5"/>
        <c:minorUnit val="0.25"/>
      </c:valAx>
      <c:dTable>
        <c:showHorzBorder val="0"/>
        <c:showVertBorder val="0"/>
        <c:showOutline val="0"/>
        <c:showKeys val="1"/>
        <c:txPr>
          <a:bodyPr/>
          <a:lstStyle/>
          <a:p>
            <a:pPr rtl="0">
              <a:defRPr sz="800"/>
            </a:pPr>
            <a:endParaRPr lang="en-US"/>
          </a:p>
        </c:txPr>
      </c:dTable>
      <c:spPr>
        <a:noFill/>
        <a:ln w="6350">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3.2590603116046488E-2"/>
          <c:w val="0.78404291490070799"/>
          <c:h val="0.55234839011650205"/>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ysClr val="windowText" lastClr="000000"/>
              </a:solidFill>
            </a:ln>
          </c:spPr>
          <c:invertIfNegative val="0"/>
          <c:cat>
            <c:strRef>
              <c:f>'Jurisdiction by industry'!$A$281:$A$291</c:f>
              <c:strCache>
                <c:ptCount val="11"/>
                <c:pt idx="0">
                  <c:v>ACT Private</c:v>
                </c:pt>
                <c:pt idx="1">
                  <c:v>Tas</c:v>
                </c:pt>
                <c:pt idx="2">
                  <c:v>Vic</c:v>
                </c:pt>
                <c:pt idx="3">
                  <c:v>WA</c:v>
                </c:pt>
                <c:pt idx="4">
                  <c:v>NSW</c:v>
                </c:pt>
                <c:pt idx="5">
                  <c:v>SA</c:v>
                </c:pt>
                <c:pt idx="6">
                  <c:v>NT</c:v>
                </c:pt>
                <c:pt idx="7">
                  <c:v>Qld</c:v>
                </c:pt>
                <c:pt idx="8">
                  <c:v>Comcare</c:v>
                </c:pt>
                <c:pt idx="9">
                  <c:v>Aus Av</c:v>
                </c:pt>
                <c:pt idx="10">
                  <c:v>NZ</c:v>
                </c:pt>
              </c:strCache>
            </c:strRef>
          </c:cat>
          <c:val>
            <c:numRef>
              <c:f>'Jurisdiction by industry'!$C$281:$C$291</c:f>
              <c:numCache>
                <c:formatCode>0.00</c:formatCode>
                <c:ptCount val="11"/>
                <c:pt idx="0">
                  <c:v>2.5550433687354337</c:v>
                </c:pt>
                <c:pt idx="1">
                  <c:v>1.7332680181746787</c:v>
                </c:pt>
                <c:pt idx="2">
                  <c:v>2.0318405978096714</c:v>
                </c:pt>
                <c:pt idx="3">
                  <c:v>1.7271210361311604</c:v>
                </c:pt>
                <c:pt idx="4">
                  <c:v>2.7776413603894472</c:v>
                </c:pt>
                <c:pt idx="5">
                  <c:v>1.9163163214250787</c:v>
                </c:pt>
                <c:pt idx="6">
                  <c:v>1.1758346468090783</c:v>
                </c:pt>
                <c:pt idx="7">
                  <c:v>1.1780066801273181</c:v>
                </c:pt>
                <c:pt idx="8">
                  <c:v>1.131295228132094</c:v>
                </c:pt>
                <c:pt idx="9">
                  <c:v>1.6569436692485087</c:v>
                </c:pt>
                <c:pt idx="10">
                  <c:v>0.18671955908301047</c:v>
                </c:pt>
              </c:numCache>
            </c:numRef>
          </c:val>
          <c:extLst>
            <c:ext xmlns:c16="http://schemas.microsoft.com/office/drawing/2014/chart" uri="{C3380CC4-5D6E-409C-BE32-E72D297353CC}">
              <c16:uniqueId val="{00000000-7CDB-4C8D-918C-6A351653486D}"/>
            </c:ext>
          </c:extLst>
        </c:ser>
        <c:ser>
          <c:idx val="0"/>
          <c:order val="1"/>
          <c:tx>
            <c:strRef>
              <c:f>'Jurisdiction by industry'!$D$240</c:f>
              <c:strCache>
                <c:ptCount val="1"/>
                <c:pt idx="0">
                  <c:v>2018-19</c:v>
                </c:pt>
              </c:strCache>
            </c:strRef>
          </c:tx>
          <c:spPr>
            <a:solidFill>
              <a:srgbClr val="A6A6A6"/>
            </a:solidFill>
            <a:ln w="6350">
              <a:solidFill>
                <a:sysClr val="windowText" lastClr="000000"/>
              </a:solidFill>
            </a:ln>
          </c:spPr>
          <c:invertIfNegative val="0"/>
          <c:cat>
            <c:strRef>
              <c:f>'Jurisdiction by industry'!$A$281:$A$291</c:f>
              <c:strCache>
                <c:ptCount val="11"/>
                <c:pt idx="0">
                  <c:v>ACT Private</c:v>
                </c:pt>
                <c:pt idx="1">
                  <c:v>Tas</c:v>
                </c:pt>
                <c:pt idx="2">
                  <c:v>Vic</c:v>
                </c:pt>
                <c:pt idx="3">
                  <c:v>WA</c:v>
                </c:pt>
                <c:pt idx="4">
                  <c:v>NSW</c:v>
                </c:pt>
                <c:pt idx="5">
                  <c:v>SA</c:v>
                </c:pt>
                <c:pt idx="6">
                  <c:v>NT</c:v>
                </c:pt>
                <c:pt idx="7">
                  <c:v>Qld</c:v>
                </c:pt>
                <c:pt idx="8">
                  <c:v>Comcare</c:v>
                </c:pt>
                <c:pt idx="9">
                  <c:v>Aus Av</c:v>
                </c:pt>
                <c:pt idx="10">
                  <c:v>NZ</c:v>
                </c:pt>
              </c:strCache>
            </c:strRef>
          </c:cat>
          <c:val>
            <c:numRef>
              <c:f>'Jurisdiction by industry'!$D$281:$D$291</c:f>
              <c:numCache>
                <c:formatCode>0.00</c:formatCode>
                <c:ptCount val="11"/>
                <c:pt idx="0">
                  <c:v>2.8249932580375856</c:v>
                </c:pt>
                <c:pt idx="1">
                  <c:v>1.9375045756275884</c:v>
                </c:pt>
                <c:pt idx="2">
                  <c:v>2.1180250528511428</c:v>
                </c:pt>
                <c:pt idx="3">
                  <c:v>2.1666973908169238</c:v>
                </c:pt>
                <c:pt idx="4">
                  <c:v>1.9625405131080762</c:v>
                </c:pt>
                <c:pt idx="5">
                  <c:v>1.7603375644927861</c:v>
                </c:pt>
                <c:pt idx="6">
                  <c:v>1.5447898113043665</c:v>
                </c:pt>
                <c:pt idx="7">
                  <c:v>1.1827921182475392</c:v>
                </c:pt>
                <c:pt idx="8">
                  <c:v>0.98839362062746883</c:v>
                </c:pt>
                <c:pt idx="9">
                  <c:v>1.5959736370497948</c:v>
                </c:pt>
                <c:pt idx="10">
                  <c:v>0.17552633483969865</c:v>
                </c:pt>
              </c:numCache>
            </c:numRef>
          </c:val>
          <c:extLst>
            <c:ext xmlns:c16="http://schemas.microsoft.com/office/drawing/2014/chart" uri="{C3380CC4-5D6E-409C-BE32-E72D297353CC}">
              <c16:uniqueId val="{00000001-7CDB-4C8D-918C-6A351653486D}"/>
            </c:ext>
          </c:extLst>
        </c:ser>
        <c:ser>
          <c:idx val="1"/>
          <c:order val="2"/>
          <c:tx>
            <c:strRef>
              <c:f>'Jurisdiction by industry'!$E$240</c:f>
              <c:strCache>
                <c:ptCount val="1"/>
                <c:pt idx="0">
                  <c:v>2019-20</c:v>
                </c:pt>
              </c:strCache>
            </c:strRef>
          </c:tx>
          <c:spPr>
            <a:solidFill>
              <a:srgbClr val="595A5C"/>
            </a:solidFill>
            <a:ln w="6350">
              <a:solidFill>
                <a:sysClr val="windowText" lastClr="000000"/>
              </a:solidFill>
            </a:ln>
          </c:spPr>
          <c:invertIfNegative val="0"/>
          <c:cat>
            <c:strRef>
              <c:f>'Jurisdiction by industry'!$A$281:$A$291</c:f>
              <c:strCache>
                <c:ptCount val="11"/>
                <c:pt idx="0">
                  <c:v>ACT Private</c:v>
                </c:pt>
                <c:pt idx="1">
                  <c:v>Tas</c:v>
                </c:pt>
                <c:pt idx="2">
                  <c:v>Vic</c:v>
                </c:pt>
                <c:pt idx="3">
                  <c:v>WA</c:v>
                </c:pt>
                <c:pt idx="4">
                  <c:v>NSW</c:v>
                </c:pt>
                <c:pt idx="5">
                  <c:v>SA</c:v>
                </c:pt>
                <c:pt idx="6">
                  <c:v>NT</c:v>
                </c:pt>
                <c:pt idx="7">
                  <c:v>Qld</c:v>
                </c:pt>
                <c:pt idx="8">
                  <c:v>Comcare</c:v>
                </c:pt>
                <c:pt idx="9">
                  <c:v>Aus Av</c:v>
                </c:pt>
                <c:pt idx="10">
                  <c:v>NZ</c:v>
                </c:pt>
              </c:strCache>
            </c:strRef>
          </c:cat>
          <c:val>
            <c:numRef>
              <c:f>'Jurisdiction by industry'!$E$281:$E$291</c:f>
              <c:numCache>
                <c:formatCode>0.00</c:formatCode>
                <c:ptCount val="11"/>
                <c:pt idx="0">
                  <c:v>2.8069717449012668</c:v>
                </c:pt>
                <c:pt idx="1">
                  <c:v>2.1643058090589649</c:v>
                </c:pt>
                <c:pt idx="2">
                  <c:v>2.1503135198126393</c:v>
                </c:pt>
                <c:pt idx="3">
                  <c:v>1.7490522372029846</c:v>
                </c:pt>
                <c:pt idx="4">
                  <c:v>1.9302847248124386</c:v>
                </c:pt>
                <c:pt idx="5">
                  <c:v>1.7119894249044074</c:v>
                </c:pt>
                <c:pt idx="6">
                  <c:v>1.4387599413672947</c:v>
                </c:pt>
                <c:pt idx="7">
                  <c:v>1.1815621665919123</c:v>
                </c:pt>
                <c:pt idx="8">
                  <c:v>0.80550919884523708</c:v>
                </c:pt>
                <c:pt idx="9">
                  <c:v>1.5315881913868463</c:v>
                </c:pt>
                <c:pt idx="10">
                  <c:v>0.17217986841676311</c:v>
                </c:pt>
              </c:numCache>
            </c:numRef>
          </c:val>
          <c:extLst>
            <c:ext xmlns:c16="http://schemas.microsoft.com/office/drawing/2014/chart" uri="{C3380CC4-5D6E-409C-BE32-E72D297353CC}">
              <c16:uniqueId val="{00000002-7CDB-4C8D-918C-6A351653486D}"/>
            </c:ext>
          </c:extLst>
        </c:ser>
        <c:ser>
          <c:idx val="2"/>
          <c:order val="3"/>
          <c:tx>
            <c:strRef>
              <c:f>'Jurisdiction by industry'!$F$240</c:f>
              <c:strCache>
                <c:ptCount val="1"/>
                <c:pt idx="0">
                  <c:v>2020-21</c:v>
                </c:pt>
              </c:strCache>
            </c:strRef>
          </c:tx>
          <c:spPr>
            <a:solidFill>
              <a:srgbClr val="3C3C3E"/>
            </a:solidFill>
            <a:ln w="6350">
              <a:solidFill>
                <a:sysClr val="windowText" lastClr="000000"/>
              </a:solidFill>
            </a:ln>
          </c:spPr>
          <c:invertIfNegative val="0"/>
          <c:cat>
            <c:strRef>
              <c:f>'Jurisdiction by industry'!$A$281:$A$291</c:f>
              <c:strCache>
                <c:ptCount val="11"/>
                <c:pt idx="0">
                  <c:v>ACT Private</c:v>
                </c:pt>
                <c:pt idx="1">
                  <c:v>Tas</c:v>
                </c:pt>
                <c:pt idx="2">
                  <c:v>Vic</c:v>
                </c:pt>
                <c:pt idx="3">
                  <c:v>WA</c:v>
                </c:pt>
                <c:pt idx="4">
                  <c:v>NSW</c:v>
                </c:pt>
                <c:pt idx="5">
                  <c:v>SA</c:v>
                </c:pt>
                <c:pt idx="6">
                  <c:v>NT</c:v>
                </c:pt>
                <c:pt idx="7">
                  <c:v>Qld</c:v>
                </c:pt>
                <c:pt idx="8">
                  <c:v>Comcare</c:v>
                </c:pt>
                <c:pt idx="9">
                  <c:v>Aus Av</c:v>
                </c:pt>
                <c:pt idx="10">
                  <c:v>NZ</c:v>
                </c:pt>
              </c:strCache>
            </c:strRef>
          </c:cat>
          <c:val>
            <c:numRef>
              <c:f>'Jurisdiction by industry'!$F$281:$F$291</c:f>
              <c:numCache>
                <c:formatCode>0.00</c:formatCode>
                <c:ptCount val="11"/>
                <c:pt idx="0">
                  <c:v>2.6453045264165485</c:v>
                </c:pt>
                <c:pt idx="1">
                  <c:v>2.1925389414776149</c:v>
                </c:pt>
                <c:pt idx="2">
                  <c:v>2.2117638141716021</c:v>
                </c:pt>
                <c:pt idx="3">
                  <c:v>2.0633358714556</c:v>
                </c:pt>
                <c:pt idx="4">
                  <c:v>1.9609737435725578</c:v>
                </c:pt>
                <c:pt idx="5">
                  <c:v>1.5832712475945068</c:v>
                </c:pt>
                <c:pt idx="6">
                  <c:v>1.3604442388079376</c:v>
                </c:pt>
                <c:pt idx="7">
                  <c:v>1.234628354692255</c:v>
                </c:pt>
                <c:pt idx="8">
                  <c:v>0.8423079172443102</c:v>
                </c:pt>
                <c:pt idx="9">
                  <c:v>1.6077285757212241</c:v>
                </c:pt>
                <c:pt idx="10">
                  <c:v>0.16783210120509182</c:v>
                </c:pt>
              </c:numCache>
            </c:numRef>
          </c:val>
          <c:extLst>
            <c:ext xmlns:c16="http://schemas.microsoft.com/office/drawing/2014/chart" uri="{C3380CC4-5D6E-409C-BE32-E72D297353CC}">
              <c16:uniqueId val="{00000003-7CDB-4C8D-918C-6A351653486D}"/>
            </c:ext>
          </c:extLst>
        </c:ser>
        <c:ser>
          <c:idx val="3"/>
          <c:order val="4"/>
          <c:tx>
            <c:strRef>
              <c:f>'Jurisdiction by industry'!$G$240</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industry'!$A$281:$A$291</c:f>
              <c:strCache>
                <c:ptCount val="11"/>
                <c:pt idx="0">
                  <c:v>ACT Private</c:v>
                </c:pt>
                <c:pt idx="1">
                  <c:v>Tas</c:v>
                </c:pt>
                <c:pt idx="2">
                  <c:v>Vic</c:v>
                </c:pt>
                <c:pt idx="3">
                  <c:v>WA</c:v>
                </c:pt>
                <c:pt idx="4">
                  <c:v>NSW</c:v>
                </c:pt>
                <c:pt idx="5">
                  <c:v>SA</c:v>
                </c:pt>
                <c:pt idx="6">
                  <c:v>NT</c:v>
                </c:pt>
                <c:pt idx="7">
                  <c:v>Qld</c:v>
                </c:pt>
                <c:pt idx="8">
                  <c:v>Comcare</c:v>
                </c:pt>
                <c:pt idx="9">
                  <c:v>Aus Av</c:v>
                </c:pt>
                <c:pt idx="10">
                  <c:v>NZ</c:v>
                </c:pt>
              </c:strCache>
            </c:strRef>
          </c:cat>
          <c:val>
            <c:numRef>
              <c:f>'Jurisdiction by industry'!$G$281:$G$291</c:f>
              <c:numCache>
                <c:formatCode>0.00</c:formatCode>
                <c:ptCount val="11"/>
                <c:pt idx="0">
                  <c:v>3.0723809789768657</c:v>
                </c:pt>
                <c:pt idx="1">
                  <c:v>2.7586270144856817</c:v>
                </c:pt>
                <c:pt idx="2">
                  <c:v>2.3240115930673664</c:v>
                </c:pt>
                <c:pt idx="3">
                  <c:v>2.2128355714379477</c:v>
                </c:pt>
                <c:pt idx="4">
                  <c:v>1.8923312037471087</c:v>
                </c:pt>
                <c:pt idx="5">
                  <c:v>1.6100489806194316</c:v>
                </c:pt>
                <c:pt idx="6">
                  <c:v>1.2670933005800107</c:v>
                </c:pt>
                <c:pt idx="7">
                  <c:v>1.2315902184336069</c:v>
                </c:pt>
                <c:pt idx="8">
                  <c:v>0.73202911864971276</c:v>
                </c:pt>
                <c:pt idx="9">
                  <c:v>1.6102341099992639</c:v>
                </c:pt>
                <c:pt idx="10">
                  <c:v>0.17178350931728889</c:v>
                </c:pt>
              </c:numCache>
            </c:numRef>
          </c:val>
          <c:extLst>
            <c:ext xmlns:c16="http://schemas.microsoft.com/office/drawing/2014/chart" uri="{C3380CC4-5D6E-409C-BE32-E72D297353CC}">
              <c16:uniqueId val="{00000004-7CDB-4C8D-918C-6A351653486D}"/>
            </c:ext>
          </c:extLst>
        </c:ser>
        <c:dLbls>
          <c:showLegendKey val="0"/>
          <c:showVal val="0"/>
          <c:showCatName val="0"/>
          <c:showSerName val="0"/>
          <c:showPercent val="0"/>
          <c:showBubbleSize val="0"/>
        </c:dLbls>
        <c:gapWidth val="150"/>
        <c:axId val="256408960"/>
        <c:axId val="256410752"/>
      </c:barChart>
      <c:lineChart>
        <c:grouping val="standard"/>
        <c:varyColors val="0"/>
        <c:ser>
          <c:idx val="4"/>
          <c:order val="5"/>
          <c:tx>
            <c:strRef>
              <c:f>'Jurisdiction by industry'!$H$279</c:f>
              <c:strCache>
                <c:ptCount val="1"/>
                <c:pt idx="0">
                  <c:v>2021-22 Aus av</c:v>
                </c:pt>
              </c:strCache>
            </c:strRef>
          </c:tx>
          <c:spPr>
            <a:ln>
              <a:solidFill>
                <a:srgbClr val="C10A27"/>
              </a:solidFill>
            </a:ln>
          </c:spPr>
          <c:marker>
            <c:symbol val="none"/>
          </c:marker>
          <c:val>
            <c:numRef>
              <c:f>'Jurisdiction by industry'!$H$281:$H$291</c:f>
              <c:numCache>
                <c:formatCode>0.00</c:formatCode>
                <c:ptCount val="11"/>
                <c:pt idx="0">
                  <c:v>1.6102341099992639</c:v>
                </c:pt>
                <c:pt idx="1">
                  <c:v>1.6102341099992639</c:v>
                </c:pt>
                <c:pt idx="2">
                  <c:v>1.6102341099992639</c:v>
                </c:pt>
                <c:pt idx="3">
                  <c:v>1.6102341099992639</c:v>
                </c:pt>
                <c:pt idx="4">
                  <c:v>1.6102341099992639</c:v>
                </c:pt>
                <c:pt idx="5">
                  <c:v>1.6102341099992639</c:v>
                </c:pt>
                <c:pt idx="6">
                  <c:v>1.6102341099992639</c:v>
                </c:pt>
                <c:pt idx="7">
                  <c:v>1.6102341099992639</c:v>
                </c:pt>
                <c:pt idx="8">
                  <c:v>1.6102341099992639</c:v>
                </c:pt>
              </c:numCache>
            </c:numRef>
          </c:val>
          <c:smooth val="0"/>
          <c:extLst>
            <c:ext xmlns:c16="http://schemas.microsoft.com/office/drawing/2014/chart" uri="{C3380CC4-5D6E-409C-BE32-E72D297353CC}">
              <c16:uniqueId val="{00000005-7CDB-4C8D-918C-6A351653486D}"/>
            </c:ext>
          </c:extLst>
        </c:ser>
        <c:dLbls>
          <c:showLegendKey val="0"/>
          <c:showVal val="0"/>
          <c:showCatName val="0"/>
          <c:showSerName val="0"/>
          <c:showPercent val="0"/>
          <c:showBubbleSize val="0"/>
        </c:dLbls>
        <c:marker val="1"/>
        <c:smooth val="0"/>
        <c:axId val="256408960"/>
        <c:axId val="256410752"/>
      </c:lineChart>
      <c:catAx>
        <c:axId val="2564089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6410752"/>
        <c:crosses val="autoZero"/>
        <c:auto val="1"/>
        <c:lblAlgn val="ctr"/>
        <c:lblOffset val="100"/>
        <c:tickMarkSkip val="1"/>
        <c:noMultiLvlLbl val="0"/>
      </c:catAx>
      <c:valAx>
        <c:axId val="256410752"/>
        <c:scaling>
          <c:orientation val="minMax"/>
          <c:max val="3.5"/>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13571047359E-2"/>
              <c:y val="0.1992209191381643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56408960"/>
        <c:crosses val="autoZero"/>
        <c:crossBetween val="between"/>
        <c:majorUnit val="0.5"/>
        <c:minorUnit val="0.5"/>
      </c:valAx>
      <c:dTable>
        <c:showHorzBorder val="0"/>
        <c:showVertBorder val="0"/>
        <c:showOutline val="0"/>
        <c:showKeys val="1"/>
        <c:txPr>
          <a:bodyPr/>
          <a:lstStyle/>
          <a:p>
            <a:pPr rtl="0">
              <a:defRPr sz="800"/>
            </a:pPr>
            <a:endParaRPr lang="en-US"/>
          </a:p>
        </c:txPr>
      </c:dTable>
      <c:spPr>
        <a:noFill/>
        <a:ln w="6350">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0912116033767577E-2"/>
          <c:w val="0.79940798051660744"/>
          <c:h val="0.56401959126117773"/>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ysClr val="windowText" lastClr="000000"/>
              </a:solidFill>
            </a:ln>
          </c:spPr>
          <c:invertIfNegative val="0"/>
          <c:cat>
            <c:strRef>
              <c:f>'Jurisdiction by industry'!$A$301:$A$311</c:f>
              <c:strCache>
                <c:ptCount val="11"/>
                <c:pt idx="0">
                  <c:v>NT</c:v>
                </c:pt>
                <c:pt idx="1">
                  <c:v>ACT Private</c:v>
                </c:pt>
                <c:pt idx="2">
                  <c:v>Tas</c:v>
                </c:pt>
                <c:pt idx="3">
                  <c:v>WA</c:v>
                </c:pt>
                <c:pt idx="4">
                  <c:v>Vic</c:v>
                </c:pt>
                <c:pt idx="5">
                  <c:v>SA</c:v>
                </c:pt>
                <c:pt idx="6">
                  <c:v>NSW</c:v>
                </c:pt>
                <c:pt idx="7">
                  <c:v>Qld</c:v>
                </c:pt>
                <c:pt idx="8">
                  <c:v>Comcare</c:v>
                </c:pt>
                <c:pt idx="9">
                  <c:v>Aus Av</c:v>
                </c:pt>
                <c:pt idx="10">
                  <c:v>NZ</c:v>
                </c:pt>
              </c:strCache>
            </c:strRef>
          </c:cat>
          <c:val>
            <c:numRef>
              <c:f>'Jurisdiction by industry'!$C$301:$C$311</c:f>
              <c:numCache>
                <c:formatCode>0.00</c:formatCode>
                <c:ptCount val="11"/>
                <c:pt idx="0">
                  <c:v>1.1302229815076221</c:v>
                </c:pt>
                <c:pt idx="1">
                  <c:v>1.259595343697318</c:v>
                </c:pt>
                <c:pt idx="2">
                  <c:v>1.0713107006486222</c:v>
                </c:pt>
                <c:pt idx="3">
                  <c:v>0.84022268367653941</c:v>
                </c:pt>
                <c:pt idx="4">
                  <c:v>0.73908357790700208</c:v>
                </c:pt>
                <c:pt idx="5">
                  <c:v>0.80103817192926241</c:v>
                </c:pt>
                <c:pt idx="6">
                  <c:v>0.65778796207075663</c:v>
                </c:pt>
                <c:pt idx="7">
                  <c:v>0.62338817375490685</c:v>
                </c:pt>
                <c:pt idx="8">
                  <c:v>0.51801132257961802</c:v>
                </c:pt>
                <c:pt idx="9">
                  <c:v>0.7167740699008176</c:v>
                </c:pt>
                <c:pt idx="10">
                  <c:v>0.26522860526772662</c:v>
                </c:pt>
              </c:numCache>
            </c:numRef>
          </c:val>
          <c:extLst>
            <c:ext xmlns:c16="http://schemas.microsoft.com/office/drawing/2014/chart" uri="{C3380CC4-5D6E-409C-BE32-E72D297353CC}">
              <c16:uniqueId val="{00000000-97EC-4264-8F1A-15746C5AE823}"/>
            </c:ext>
          </c:extLst>
        </c:ser>
        <c:ser>
          <c:idx val="0"/>
          <c:order val="1"/>
          <c:tx>
            <c:strRef>
              <c:f>'Jurisdiction by industry'!$D$240</c:f>
              <c:strCache>
                <c:ptCount val="1"/>
                <c:pt idx="0">
                  <c:v>2018-19</c:v>
                </c:pt>
              </c:strCache>
            </c:strRef>
          </c:tx>
          <c:spPr>
            <a:solidFill>
              <a:srgbClr val="A6A6A6"/>
            </a:solidFill>
            <a:ln w="6350">
              <a:solidFill>
                <a:sysClr val="windowText" lastClr="000000"/>
              </a:solidFill>
            </a:ln>
          </c:spPr>
          <c:invertIfNegative val="0"/>
          <c:cat>
            <c:strRef>
              <c:f>'Jurisdiction by industry'!$A$301:$A$311</c:f>
              <c:strCache>
                <c:ptCount val="11"/>
                <c:pt idx="0">
                  <c:v>NT</c:v>
                </c:pt>
                <c:pt idx="1">
                  <c:v>ACT Private</c:v>
                </c:pt>
                <c:pt idx="2">
                  <c:v>Tas</c:v>
                </c:pt>
                <c:pt idx="3">
                  <c:v>WA</c:v>
                </c:pt>
                <c:pt idx="4">
                  <c:v>Vic</c:v>
                </c:pt>
                <c:pt idx="5">
                  <c:v>SA</c:v>
                </c:pt>
                <c:pt idx="6">
                  <c:v>NSW</c:v>
                </c:pt>
                <c:pt idx="7">
                  <c:v>Qld</c:v>
                </c:pt>
                <c:pt idx="8">
                  <c:v>Comcare</c:v>
                </c:pt>
                <c:pt idx="9">
                  <c:v>Aus Av</c:v>
                </c:pt>
                <c:pt idx="10">
                  <c:v>NZ</c:v>
                </c:pt>
              </c:strCache>
            </c:strRef>
          </c:cat>
          <c:val>
            <c:numRef>
              <c:f>'Jurisdiction by industry'!$D$301:$D$311</c:f>
              <c:numCache>
                <c:formatCode>0.00</c:formatCode>
                <c:ptCount val="11"/>
                <c:pt idx="0">
                  <c:v>1.2881048343584953</c:v>
                </c:pt>
                <c:pt idx="1">
                  <c:v>1.2811402362415196</c:v>
                </c:pt>
                <c:pt idx="2">
                  <c:v>1.0658092201652631</c:v>
                </c:pt>
                <c:pt idx="3">
                  <c:v>0.93139671047580819</c:v>
                </c:pt>
                <c:pt idx="4">
                  <c:v>0.73334099434088484</c:v>
                </c:pt>
                <c:pt idx="5">
                  <c:v>0.73908924297857914</c:v>
                </c:pt>
                <c:pt idx="6">
                  <c:v>0.62604442392976667</c:v>
                </c:pt>
                <c:pt idx="7">
                  <c:v>0.63952452075670907</c:v>
                </c:pt>
                <c:pt idx="8">
                  <c:v>0.21995048928192712</c:v>
                </c:pt>
                <c:pt idx="9">
                  <c:v>0.7101537122830156</c:v>
                </c:pt>
                <c:pt idx="10">
                  <c:v>0.26537956059110979</c:v>
                </c:pt>
              </c:numCache>
            </c:numRef>
          </c:val>
          <c:extLst>
            <c:ext xmlns:c16="http://schemas.microsoft.com/office/drawing/2014/chart" uri="{C3380CC4-5D6E-409C-BE32-E72D297353CC}">
              <c16:uniqueId val="{00000001-97EC-4264-8F1A-15746C5AE823}"/>
            </c:ext>
          </c:extLst>
        </c:ser>
        <c:ser>
          <c:idx val="1"/>
          <c:order val="2"/>
          <c:tx>
            <c:strRef>
              <c:f>'Jurisdiction by industry'!$E$240</c:f>
              <c:strCache>
                <c:ptCount val="1"/>
                <c:pt idx="0">
                  <c:v>2019-20</c:v>
                </c:pt>
              </c:strCache>
            </c:strRef>
          </c:tx>
          <c:spPr>
            <a:solidFill>
              <a:srgbClr val="595A5C"/>
            </a:solidFill>
            <a:ln w="6350">
              <a:solidFill>
                <a:sysClr val="windowText" lastClr="000000"/>
              </a:solidFill>
            </a:ln>
          </c:spPr>
          <c:invertIfNegative val="0"/>
          <c:cat>
            <c:strRef>
              <c:f>'Jurisdiction by industry'!$A$301:$A$311</c:f>
              <c:strCache>
                <c:ptCount val="11"/>
                <c:pt idx="0">
                  <c:v>NT</c:v>
                </c:pt>
                <c:pt idx="1">
                  <c:v>ACT Private</c:v>
                </c:pt>
                <c:pt idx="2">
                  <c:v>Tas</c:v>
                </c:pt>
                <c:pt idx="3">
                  <c:v>WA</c:v>
                </c:pt>
                <c:pt idx="4">
                  <c:v>Vic</c:v>
                </c:pt>
                <c:pt idx="5">
                  <c:v>SA</c:v>
                </c:pt>
                <c:pt idx="6">
                  <c:v>NSW</c:v>
                </c:pt>
                <c:pt idx="7">
                  <c:v>Qld</c:v>
                </c:pt>
                <c:pt idx="8">
                  <c:v>Comcare</c:v>
                </c:pt>
                <c:pt idx="9">
                  <c:v>Aus Av</c:v>
                </c:pt>
                <c:pt idx="10">
                  <c:v>NZ</c:v>
                </c:pt>
              </c:strCache>
            </c:strRef>
          </c:cat>
          <c:val>
            <c:numRef>
              <c:f>'Jurisdiction by industry'!$E$301:$E$311</c:f>
              <c:numCache>
                <c:formatCode>0.00</c:formatCode>
                <c:ptCount val="11"/>
                <c:pt idx="0">
                  <c:v>1.3774827771513953</c:v>
                </c:pt>
                <c:pt idx="1">
                  <c:v>1.3147237693803522</c:v>
                </c:pt>
                <c:pt idx="2">
                  <c:v>1.0288148269631738</c:v>
                </c:pt>
                <c:pt idx="3">
                  <c:v>0.90098968882878994</c:v>
                </c:pt>
                <c:pt idx="4">
                  <c:v>0.76354289861982805</c:v>
                </c:pt>
                <c:pt idx="5">
                  <c:v>0.72854689475350887</c:v>
                </c:pt>
                <c:pt idx="6">
                  <c:v>0.57222936103888167</c:v>
                </c:pt>
                <c:pt idx="7">
                  <c:v>0.60898375113731085</c:v>
                </c:pt>
                <c:pt idx="8">
                  <c:v>0.10430587748698442</c:v>
                </c:pt>
                <c:pt idx="9">
                  <c:v>0.68845448828917521</c:v>
                </c:pt>
                <c:pt idx="10">
                  <c:v>0.26114661403606304</c:v>
                </c:pt>
              </c:numCache>
            </c:numRef>
          </c:val>
          <c:extLst>
            <c:ext xmlns:c16="http://schemas.microsoft.com/office/drawing/2014/chart" uri="{C3380CC4-5D6E-409C-BE32-E72D297353CC}">
              <c16:uniqueId val="{00000002-97EC-4264-8F1A-15746C5AE823}"/>
            </c:ext>
          </c:extLst>
        </c:ser>
        <c:ser>
          <c:idx val="2"/>
          <c:order val="3"/>
          <c:tx>
            <c:strRef>
              <c:f>'Jurisdiction by industry'!$F$240</c:f>
              <c:strCache>
                <c:ptCount val="1"/>
                <c:pt idx="0">
                  <c:v>2020-21</c:v>
                </c:pt>
              </c:strCache>
            </c:strRef>
          </c:tx>
          <c:spPr>
            <a:solidFill>
              <a:srgbClr val="3C3C3E"/>
            </a:solidFill>
            <a:ln w="6350">
              <a:solidFill>
                <a:sysClr val="windowText" lastClr="000000"/>
              </a:solidFill>
            </a:ln>
          </c:spPr>
          <c:invertIfNegative val="0"/>
          <c:cat>
            <c:strRef>
              <c:f>'Jurisdiction by industry'!$A$301:$A$311</c:f>
              <c:strCache>
                <c:ptCount val="11"/>
                <c:pt idx="0">
                  <c:v>NT</c:v>
                </c:pt>
                <c:pt idx="1">
                  <c:v>ACT Private</c:v>
                </c:pt>
                <c:pt idx="2">
                  <c:v>Tas</c:v>
                </c:pt>
                <c:pt idx="3">
                  <c:v>WA</c:v>
                </c:pt>
                <c:pt idx="4">
                  <c:v>Vic</c:v>
                </c:pt>
                <c:pt idx="5">
                  <c:v>SA</c:v>
                </c:pt>
                <c:pt idx="6">
                  <c:v>NSW</c:v>
                </c:pt>
                <c:pt idx="7">
                  <c:v>Qld</c:v>
                </c:pt>
                <c:pt idx="8">
                  <c:v>Comcare</c:v>
                </c:pt>
                <c:pt idx="9">
                  <c:v>Aus Av</c:v>
                </c:pt>
                <c:pt idx="10">
                  <c:v>NZ</c:v>
                </c:pt>
              </c:strCache>
            </c:strRef>
          </c:cat>
          <c:val>
            <c:numRef>
              <c:f>'Jurisdiction by industry'!$F$301:$F$311</c:f>
              <c:numCache>
                <c:formatCode>0.00</c:formatCode>
                <c:ptCount val="11"/>
                <c:pt idx="0">
                  <c:v>1.2169237994802971</c:v>
                </c:pt>
                <c:pt idx="1">
                  <c:v>1.1938392089962799</c:v>
                </c:pt>
                <c:pt idx="2">
                  <c:v>0.95044303504921313</c:v>
                </c:pt>
                <c:pt idx="3">
                  <c:v>0.94951543960087503</c:v>
                </c:pt>
                <c:pt idx="4">
                  <c:v>0.84985541920613683</c:v>
                </c:pt>
                <c:pt idx="5">
                  <c:v>0.71895576661800653</c:v>
                </c:pt>
                <c:pt idx="6">
                  <c:v>0.62562804451677367</c:v>
                </c:pt>
                <c:pt idx="7">
                  <c:v>0.62500993769875168</c:v>
                </c:pt>
                <c:pt idx="8">
                  <c:v>0.10498759386696674</c:v>
                </c:pt>
                <c:pt idx="9">
                  <c:v>0.73482672684257677</c:v>
                </c:pt>
                <c:pt idx="10">
                  <c:v>0.25980214651468497</c:v>
                </c:pt>
              </c:numCache>
            </c:numRef>
          </c:val>
          <c:extLst>
            <c:ext xmlns:c16="http://schemas.microsoft.com/office/drawing/2014/chart" uri="{C3380CC4-5D6E-409C-BE32-E72D297353CC}">
              <c16:uniqueId val="{00000003-97EC-4264-8F1A-15746C5AE823}"/>
            </c:ext>
          </c:extLst>
        </c:ser>
        <c:ser>
          <c:idx val="3"/>
          <c:order val="4"/>
          <c:tx>
            <c:strRef>
              <c:f>'Jurisdiction by industry'!$G$240</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industry'!$A$301:$A$311</c:f>
              <c:strCache>
                <c:ptCount val="11"/>
                <c:pt idx="0">
                  <c:v>NT</c:v>
                </c:pt>
                <c:pt idx="1">
                  <c:v>ACT Private</c:v>
                </c:pt>
                <c:pt idx="2">
                  <c:v>Tas</c:v>
                </c:pt>
                <c:pt idx="3">
                  <c:v>WA</c:v>
                </c:pt>
                <c:pt idx="4">
                  <c:v>Vic</c:v>
                </c:pt>
                <c:pt idx="5">
                  <c:v>SA</c:v>
                </c:pt>
                <c:pt idx="6">
                  <c:v>NSW</c:v>
                </c:pt>
                <c:pt idx="7">
                  <c:v>Qld</c:v>
                </c:pt>
                <c:pt idx="8">
                  <c:v>Comcare</c:v>
                </c:pt>
                <c:pt idx="9">
                  <c:v>Aus Av</c:v>
                </c:pt>
                <c:pt idx="10">
                  <c:v>NZ</c:v>
                </c:pt>
              </c:strCache>
            </c:strRef>
          </c:cat>
          <c:val>
            <c:numRef>
              <c:f>'Jurisdiction by industry'!$G$301:$G$311</c:f>
              <c:numCache>
                <c:formatCode>0.00</c:formatCode>
                <c:ptCount val="11"/>
                <c:pt idx="0">
                  <c:v>1.2678938319193398</c:v>
                </c:pt>
                <c:pt idx="1">
                  <c:v>1.2664789336633131</c:v>
                </c:pt>
                <c:pt idx="2">
                  <c:v>1.0823180279972848</c:v>
                </c:pt>
                <c:pt idx="3">
                  <c:v>1.0092639938554646</c:v>
                </c:pt>
                <c:pt idx="4">
                  <c:v>0.89487341359585182</c:v>
                </c:pt>
                <c:pt idx="5">
                  <c:v>0.74373975204474563</c:v>
                </c:pt>
                <c:pt idx="6">
                  <c:v>0.67971014396745644</c:v>
                </c:pt>
                <c:pt idx="7">
                  <c:v>0.62236577499687817</c:v>
                </c:pt>
                <c:pt idx="8">
                  <c:v>0.16244644654147442</c:v>
                </c:pt>
                <c:pt idx="9">
                  <c:v>0.77627141098050123</c:v>
                </c:pt>
                <c:pt idx="10">
                  <c:v>0.25008183506500287</c:v>
                </c:pt>
              </c:numCache>
            </c:numRef>
          </c:val>
          <c:extLst>
            <c:ext xmlns:c16="http://schemas.microsoft.com/office/drawing/2014/chart" uri="{C3380CC4-5D6E-409C-BE32-E72D297353CC}">
              <c16:uniqueId val="{00000004-97EC-4264-8F1A-15746C5AE823}"/>
            </c:ext>
          </c:extLst>
        </c:ser>
        <c:dLbls>
          <c:showLegendKey val="0"/>
          <c:showVal val="0"/>
          <c:showCatName val="0"/>
          <c:showSerName val="0"/>
          <c:showPercent val="0"/>
          <c:showBubbleSize val="0"/>
        </c:dLbls>
        <c:gapWidth val="150"/>
        <c:axId val="261590016"/>
        <c:axId val="261600000"/>
      </c:barChart>
      <c:lineChart>
        <c:grouping val="standard"/>
        <c:varyColors val="0"/>
        <c:ser>
          <c:idx val="4"/>
          <c:order val="5"/>
          <c:tx>
            <c:strRef>
              <c:f>'Jurisdiction by industry'!$H$299</c:f>
              <c:strCache>
                <c:ptCount val="1"/>
                <c:pt idx="0">
                  <c:v>2021-22 Aus av</c:v>
                </c:pt>
              </c:strCache>
            </c:strRef>
          </c:tx>
          <c:spPr>
            <a:ln>
              <a:solidFill>
                <a:srgbClr val="C10A27"/>
              </a:solidFill>
            </a:ln>
          </c:spPr>
          <c:marker>
            <c:symbol val="none"/>
          </c:marker>
          <c:val>
            <c:numRef>
              <c:f>'Jurisdiction by industry'!$H$301:$H$311</c:f>
              <c:numCache>
                <c:formatCode>0.00</c:formatCode>
                <c:ptCount val="11"/>
                <c:pt idx="0">
                  <c:v>0.77627141098050123</c:v>
                </c:pt>
                <c:pt idx="1">
                  <c:v>0.77627141098050123</c:v>
                </c:pt>
                <c:pt idx="2">
                  <c:v>0.77627141098050123</c:v>
                </c:pt>
                <c:pt idx="3">
                  <c:v>0.77627141098050123</c:v>
                </c:pt>
                <c:pt idx="4">
                  <c:v>0.77627141098050123</c:v>
                </c:pt>
                <c:pt idx="5">
                  <c:v>0.77627141098050123</c:v>
                </c:pt>
                <c:pt idx="6">
                  <c:v>0.77627141098050123</c:v>
                </c:pt>
                <c:pt idx="7">
                  <c:v>0.77627141098050123</c:v>
                </c:pt>
                <c:pt idx="8">
                  <c:v>0.77627141098050123</c:v>
                </c:pt>
              </c:numCache>
            </c:numRef>
          </c:val>
          <c:smooth val="0"/>
          <c:extLst>
            <c:ext xmlns:c16="http://schemas.microsoft.com/office/drawing/2014/chart" uri="{C3380CC4-5D6E-409C-BE32-E72D297353CC}">
              <c16:uniqueId val="{00000005-97EC-4264-8F1A-15746C5AE823}"/>
            </c:ext>
          </c:extLst>
        </c:ser>
        <c:dLbls>
          <c:showLegendKey val="0"/>
          <c:showVal val="0"/>
          <c:showCatName val="0"/>
          <c:showSerName val="0"/>
          <c:showPercent val="0"/>
          <c:showBubbleSize val="0"/>
        </c:dLbls>
        <c:marker val="1"/>
        <c:smooth val="0"/>
        <c:axId val="261590016"/>
        <c:axId val="261600000"/>
      </c:lineChart>
      <c:catAx>
        <c:axId val="2615900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00000"/>
        <c:crosses val="autoZero"/>
        <c:auto val="1"/>
        <c:lblAlgn val="ctr"/>
        <c:lblOffset val="100"/>
        <c:tickMarkSkip val="1"/>
        <c:noMultiLvlLbl val="0"/>
      </c:catAx>
      <c:valAx>
        <c:axId val="261600000"/>
        <c:scaling>
          <c:orientation val="minMax"/>
          <c:max val="1.5"/>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214779181274E-2"/>
              <c:y val="0.18833971202681909"/>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590016"/>
        <c:crosses val="autoZero"/>
        <c:crossBetween val="between"/>
        <c:majorUnit val="0.25"/>
        <c:minorUnit val="0.25"/>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3.7337740243318374E-2"/>
          <c:w val="0.78538347533056796"/>
          <c:h val="0.5566107005908647"/>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ysClr val="windowText" lastClr="000000"/>
              </a:solidFill>
            </a:ln>
          </c:spPr>
          <c:invertIfNegative val="0"/>
          <c:cat>
            <c:strRef>
              <c:f>'Jurisdiction by industry'!$A$322:$A$332</c:f>
              <c:strCache>
                <c:ptCount val="11"/>
                <c:pt idx="0">
                  <c:v>ACT Private</c:v>
                </c:pt>
                <c:pt idx="1">
                  <c:v>Tas</c:v>
                </c:pt>
                <c:pt idx="2">
                  <c:v>SA</c:v>
                </c:pt>
                <c:pt idx="3">
                  <c:v>NT</c:v>
                </c:pt>
                <c:pt idx="4">
                  <c:v>WA</c:v>
                </c:pt>
                <c:pt idx="5">
                  <c:v>NSW</c:v>
                </c:pt>
                <c:pt idx="6">
                  <c:v>Vic</c:v>
                </c:pt>
                <c:pt idx="7">
                  <c:v>Qld</c:v>
                </c:pt>
                <c:pt idx="8">
                  <c:v>Comcare</c:v>
                </c:pt>
                <c:pt idx="9">
                  <c:v>Aus Av</c:v>
                </c:pt>
                <c:pt idx="10">
                  <c:v>NZ</c:v>
                </c:pt>
              </c:strCache>
            </c:strRef>
          </c:cat>
          <c:val>
            <c:numRef>
              <c:f>'Jurisdiction by industry'!$C$322:$C$332</c:f>
              <c:numCache>
                <c:formatCode>0.00</c:formatCode>
                <c:ptCount val="11"/>
                <c:pt idx="0">
                  <c:v>2.0563079279980059</c:v>
                </c:pt>
                <c:pt idx="1">
                  <c:v>1.6451576229552771</c:v>
                </c:pt>
                <c:pt idx="2">
                  <c:v>2.2926456090828871</c:v>
                </c:pt>
                <c:pt idx="3">
                  <c:v>1.1112795755929339</c:v>
                </c:pt>
                <c:pt idx="4">
                  <c:v>1.3500383826633531</c:v>
                </c:pt>
                <c:pt idx="5">
                  <c:v>1.5454719142029056</c:v>
                </c:pt>
                <c:pt idx="6">
                  <c:v>1.6310861322166188</c:v>
                </c:pt>
                <c:pt idx="7">
                  <c:v>0.97533591033078182</c:v>
                </c:pt>
                <c:pt idx="8">
                  <c:v>2.2177793293832302</c:v>
                </c:pt>
                <c:pt idx="9">
                  <c:v>1.4976863831475669</c:v>
                </c:pt>
                <c:pt idx="10">
                  <c:v>0.32394145760104326</c:v>
                </c:pt>
              </c:numCache>
            </c:numRef>
          </c:val>
          <c:extLst>
            <c:ext xmlns:c16="http://schemas.microsoft.com/office/drawing/2014/chart" uri="{C3380CC4-5D6E-409C-BE32-E72D297353CC}">
              <c16:uniqueId val="{00000000-1ABD-42B8-A7F0-F7ED2FEFE567}"/>
            </c:ext>
          </c:extLst>
        </c:ser>
        <c:ser>
          <c:idx val="0"/>
          <c:order val="1"/>
          <c:tx>
            <c:strRef>
              <c:f>'Jurisdiction by industry'!$D$240</c:f>
              <c:strCache>
                <c:ptCount val="1"/>
                <c:pt idx="0">
                  <c:v>2018-19</c:v>
                </c:pt>
              </c:strCache>
            </c:strRef>
          </c:tx>
          <c:spPr>
            <a:solidFill>
              <a:srgbClr val="A6A6A6"/>
            </a:solidFill>
            <a:ln w="6350">
              <a:solidFill>
                <a:sysClr val="windowText" lastClr="000000"/>
              </a:solidFill>
            </a:ln>
          </c:spPr>
          <c:invertIfNegative val="0"/>
          <c:cat>
            <c:strRef>
              <c:f>'Jurisdiction by industry'!$A$322:$A$332</c:f>
              <c:strCache>
                <c:ptCount val="11"/>
                <c:pt idx="0">
                  <c:v>ACT Private</c:v>
                </c:pt>
                <c:pt idx="1">
                  <c:v>Tas</c:v>
                </c:pt>
                <c:pt idx="2">
                  <c:v>SA</c:v>
                </c:pt>
                <c:pt idx="3">
                  <c:v>NT</c:v>
                </c:pt>
                <c:pt idx="4">
                  <c:v>WA</c:v>
                </c:pt>
                <c:pt idx="5">
                  <c:v>NSW</c:v>
                </c:pt>
                <c:pt idx="6">
                  <c:v>Vic</c:v>
                </c:pt>
                <c:pt idx="7">
                  <c:v>Qld</c:v>
                </c:pt>
                <c:pt idx="8">
                  <c:v>Comcare</c:v>
                </c:pt>
                <c:pt idx="9">
                  <c:v>Aus Av</c:v>
                </c:pt>
                <c:pt idx="10">
                  <c:v>NZ</c:v>
                </c:pt>
              </c:strCache>
            </c:strRef>
          </c:cat>
          <c:val>
            <c:numRef>
              <c:f>'Jurisdiction by industry'!$D$322:$D$332</c:f>
              <c:numCache>
                <c:formatCode>0.00</c:formatCode>
                <c:ptCount val="11"/>
                <c:pt idx="0">
                  <c:v>2.2073402025557414</c:v>
                </c:pt>
                <c:pt idx="1">
                  <c:v>1.8335018892062152</c:v>
                </c:pt>
                <c:pt idx="2">
                  <c:v>2.0075897839379535</c:v>
                </c:pt>
                <c:pt idx="3">
                  <c:v>1.0794241281469057</c:v>
                </c:pt>
                <c:pt idx="4">
                  <c:v>1.4159770232772433</c:v>
                </c:pt>
                <c:pt idx="5">
                  <c:v>1.5906683757443136</c:v>
                </c:pt>
                <c:pt idx="6">
                  <c:v>1.6178757292243495</c:v>
                </c:pt>
                <c:pt idx="7">
                  <c:v>0.98877796890239589</c:v>
                </c:pt>
                <c:pt idx="8">
                  <c:v>1.2617493218092424</c:v>
                </c:pt>
                <c:pt idx="9">
                  <c:v>1.4979342255904244</c:v>
                </c:pt>
                <c:pt idx="10">
                  <c:v>0.33335184619038449</c:v>
                </c:pt>
              </c:numCache>
            </c:numRef>
          </c:val>
          <c:extLst>
            <c:ext xmlns:c16="http://schemas.microsoft.com/office/drawing/2014/chart" uri="{C3380CC4-5D6E-409C-BE32-E72D297353CC}">
              <c16:uniqueId val="{00000001-1ABD-42B8-A7F0-F7ED2FEFE567}"/>
            </c:ext>
          </c:extLst>
        </c:ser>
        <c:ser>
          <c:idx val="1"/>
          <c:order val="2"/>
          <c:tx>
            <c:strRef>
              <c:f>'Jurisdiction by industry'!$E$240</c:f>
              <c:strCache>
                <c:ptCount val="1"/>
                <c:pt idx="0">
                  <c:v>2019-20</c:v>
                </c:pt>
              </c:strCache>
            </c:strRef>
          </c:tx>
          <c:spPr>
            <a:solidFill>
              <a:srgbClr val="595A5C"/>
            </a:solidFill>
            <a:ln w="6350">
              <a:solidFill>
                <a:sysClr val="windowText" lastClr="000000"/>
              </a:solidFill>
            </a:ln>
          </c:spPr>
          <c:invertIfNegative val="0"/>
          <c:cat>
            <c:strRef>
              <c:f>'Jurisdiction by industry'!$A$322:$A$332</c:f>
              <c:strCache>
                <c:ptCount val="11"/>
                <c:pt idx="0">
                  <c:v>ACT Private</c:v>
                </c:pt>
                <c:pt idx="1">
                  <c:v>Tas</c:v>
                </c:pt>
                <c:pt idx="2">
                  <c:v>SA</c:v>
                </c:pt>
                <c:pt idx="3">
                  <c:v>NT</c:v>
                </c:pt>
                <c:pt idx="4">
                  <c:v>WA</c:v>
                </c:pt>
                <c:pt idx="5">
                  <c:v>NSW</c:v>
                </c:pt>
                <c:pt idx="6">
                  <c:v>Vic</c:v>
                </c:pt>
                <c:pt idx="7">
                  <c:v>Qld</c:v>
                </c:pt>
                <c:pt idx="8">
                  <c:v>Comcare</c:v>
                </c:pt>
                <c:pt idx="9">
                  <c:v>Aus Av</c:v>
                </c:pt>
                <c:pt idx="10">
                  <c:v>NZ</c:v>
                </c:pt>
              </c:strCache>
            </c:strRef>
          </c:cat>
          <c:val>
            <c:numRef>
              <c:f>'Jurisdiction by industry'!$E$322:$E$332</c:f>
              <c:numCache>
                <c:formatCode>0.00</c:formatCode>
                <c:ptCount val="11"/>
                <c:pt idx="0">
                  <c:v>2.1892209180763347</c:v>
                </c:pt>
                <c:pt idx="1">
                  <c:v>1.9036995739715956</c:v>
                </c:pt>
                <c:pt idx="2">
                  <c:v>1.9944563720458639</c:v>
                </c:pt>
                <c:pt idx="3">
                  <c:v>1.339870648699633</c:v>
                </c:pt>
                <c:pt idx="4">
                  <c:v>1.4615741352981133</c:v>
                </c:pt>
                <c:pt idx="5">
                  <c:v>1.5883772742872799</c:v>
                </c:pt>
                <c:pt idx="6">
                  <c:v>1.584445055266628</c:v>
                </c:pt>
                <c:pt idx="7">
                  <c:v>1.0077881380275939</c:v>
                </c:pt>
                <c:pt idx="8">
                  <c:v>1.0024808693620928</c:v>
                </c:pt>
                <c:pt idx="9">
                  <c:v>1.4964583565614353</c:v>
                </c:pt>
                <c:pt idx="10">
                  <c:v>0.3295520778321035</c:v>
                </c:pt>
              </c:numCache>
            </c:numRef>
          </c:val>
          <c:extLst>
            <c:ext xmlns:c16="http://schemas.microsoft.com/office/drawing/2014/chart" uri="{C3380CC4-5D6E-409C-BE32-E72D297353CC}">
              <c16:uniqueId val="{00000002-1ABD-42B8-A7F0-F7ED2FEFE567}"/>
            </c:ext>
          </c:extLst>
        </c:ser>
        <c:ser>
          <c:idx val="2"/>
          <c:order val="3"/>
          <c:tx>
            <c:strRef>
              <c:f>'Jurisdiction by industry'!$F$240</c:f>
              <c:strCache>
                <c:ptCount val="1"/>
                <c:pt idx="0">
                  <c:v>2020-21</c:v>
                </c:pt>
              </c:strCache>
            </c:strRef>
          </c:tx>
          <c:spPr>
            <a:solidFill>
              <a:srgbClr val="3C3C3E"/>
            </a:solidFill>
            <a:ln w="6350">
              <a:solidFill>
                <a:sysClr val="windowText" lastClr="000000"/>
              </a:solidFill>
            </a:ln>
          </c:spPr>
          <c:invertIfNegative val="0"/>
          <c:cat>
            <c:strRef>
              <c:f>'Jurisdiction by industry'!$A$322:$A$332</c:f>
              <c:strCache>
                <c:ptCount val="11"/>
                <c:pt idx="0">
                  <c:v>ACT Private</c:v>
                </c:pt>
                <c:pt idx="1">
                  <c:v>Tas</c:v>
                </c:pt>
                <c:pt idx="2">
                  <c:v>SA</c:v>
                </c:pt>
                <c:pt idx="3">
                  <c:v>NT</c:v>
                </c:pt>
                <c:pt idx="4">
                  <c:v>WA</c:v>
                </c:pt>
                <c:pt idx="5">
                  <c:v>NSW</c:v>
                </c:pt>
                <c:pt idx="6">
                  <c:v>Vic</c:v>
                </c:pt>
                <c:pt idx="7">
                  <c:v>Qld</c:v>
                </c:pt>
                <c:pt idx="8">
                  <c:v>Comcare</c:v>
                </c:pt>
                <c:pt idx="9">
                  <c:v>Aus Av</c:v>
                </c:pt>
                <c:pt idx="10">
                  <c:v>NZ</c:v>
                </c:pt>
              </c:strCache>
            </c:strRef>
          </c:cat>
          <c:val>
            <c:numRef>
              <c:f>'Jurisdiction by industry'!$F$322:$F$332</c:f>
              <c:numCache>
                <c:formatCode>0.00</c:formatCode>
                <c:ptCount val="11"/>
                <c:pt idx="0">
                  <c:v>2.2869796749109677</c:v>
                </c:pt>
                <c:pt idx="1">
                  <c:v>1.9885019428186075</c:v>
                </c:pt>
                <c:pt idx="2">
                  <c:v>1.839220088098819</c:v>
                </c:pt>
                <c:pt idx="3">
                  <c:v>1.0853071706993158</c:v>
                </c:pt>
                <c:pt idx="4">
                  <c:v>1.532462131831414</c:v>
                </c:pt>
                <c:pt idx="5">
                  <c:v>1.7068202137188615</c:v>
                </c:pt>
                <c:pt idx="6">
                  <c:v>1.5633228560591554</c:v>
                </c:pt>
                <c:pt idx="7">
                  <c:v>1.0034975144801201</c:v>
                </c:pt>
                <c:pt idx="8">
                  <c:v>0.69619781611000453</c:v>
                </c:pt>
                <c:pt idx="9">
                  <c:v>1.5164175200670267</c:v>
                </c:pt>
                <c:pt idx="10">
                  <c:v>0.32208917708272244</c:v>
                </c:pt>
              </c:numCache>
            </c:numRef>
          </c:val>
          <c:extLst>
            <c:ext xmlns:c16="http://schemas.microsoft.com/office/drawing/2014/chart" uri="{C3380CC4-5D6E-409C-BE32-E72D297353CC}">
              <c16:uniqueId val="{00000003-1ABD-42B8-A7F0-F7ED2FEFE567}"/>
            </c:ext>
          </c:extLst>
        </c:ser>
        <c:ser>
          <c:idx val="3"/>
          <c:order val="4"/>
          <c:tx>
            <c:strRef>
              <c:f>'Jurisdiction by industry'!$G$240</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industry'!$A$322:$A$332</c:f>
              <c:strCache>
                <c:ptCount val="11"/>
                <c:pt idx="0">
                  <c:v>ACT Private</c:v>
                </c:pt>
                <c:pt idx="1">
                  <c:v>Tas</c:v>
                </c:pt>
                <c:pt idx="2">
                  <c:v>SA</c:v>
                </c:pt>
                <c:pt idx="3">
                  <c:v>NT</c:v>
                </c:pt>
                <c:pt idx="4">
                  <c:v>WA</c:v>
                </c:pt>
                <c:pt idx="5">
                  <c:v>NSW</c:v>
                </c:pt>
                <c:pt idx="6">
                  <c:v>Vic</c:v>
                </c:pt>
                <c:pt idx="7">
                  <c:v>Qld</c:v>
                </c:pt>
                <c:pt idx="8">
                  <c:v>Comcare</c:v>
                </c:pt>
                <c:pt idx="9">
                  <c:v>Aus Av</c:v>
                </c:pt>
                <c:pt idx="10">
                  <c:v>NZ</c:v>
                </c:pt>
              </c:strCache>
            </c:strRef>
          </c:cat>
          <c:val>
            <c:numRef>
              <c:f>'Jurisdiction by industry'!$G$322:$G$332</c:f>
              <c:numCache>
                <c:formatCode>0.00</c:formatCode>
                <c:ptCount val="11"/>
                <c:pt idx="0">
                  <c:v>2.3305014885120006</c:v>
                </c:pt>
                <c:pt idx="1">
                  <c:v>2.2612706246690015</c:v>
                </c:pt>
                <c:pt idx="2">
                  <c:v>1.857514586131729</c:v>
                </c:pt>
                <c:pt idx="3">
                  <c:v>1.747982593750826</c:v>
                </c:pt>
                <c:pt idx="4">
                  <c:v>1.6163060365768276</c:v>
                </c:pt>
                <c:pt idx="5">
                  <c:v>1.5830784857458455</c:v>
                </c:pt>
                <c:pt idx="6">
                  <c:v>1.536867232085823</c:v>
                </c:pt>
                <c:pt idx="7">
                  <c:v>1.0121226678000388</c:v>
                </c:pt>
                <c:pt idx="8">
                  <c:v>0.64796324295058727</c:v>
                </c:pt>
                <c:pt idx="9">
                  <c:v>1.484195839918248</c:v>
                </c:pt>
                <c:pt idx="10">
                  <c:v>0.31273790830809212</c:v>
                </c:pt>
              </c:numCache>
            </c:numRef>
          </c:val>
          <c:extLst>
            <c:ext xmlns:c16="http://schemas.microsoft.com/office/drawing/2014/chart" uri="{C3380CC4-5D6E-409C-BE32-E72D297353CC}">
              <c16:uniqueId val="{00000004-1ABD-42B8-A7F0-F7ED2FEFE567}"/>
            </c:ext>
          </c:extLst>
        </c:ser>
        <c:dLbls>
          <c:showLegendKey val="0"/>
          <c:showVal val="0"/>
          <c:showCatName val="0"/>
          <c:showSerName val="0"/>
          <c:showPercent val="0"/>
          <c:showBubbleSize val="0"/>
        </c:dLbls>
        <c:gapWidth val="150"/>
        <c:axId val="261663360"/>
        <c:axId val="261677440"/>
      </c:barChart>
      <c:lineChart>
        <c:grouping val="standard"/>
        <c:varyColors val="0"/>
        <c:ser>
          <c:idx val="4"/>
          <c:order val="5"/>
          <c:tx>
            <c:strRef>
              <c:f>'Jurisdiction by industry'!$H$320</c:f>
              <c:strCache>
                <c:ptCount val="1"/>
                <c:pt idx="0">
                  <c:v>2021-22 Aus av</c:v>
                </c:pt>
              </c:strCache>
            </c:strRef>
          </c:tx>
          <c:spPr>
            <a:ln>
              <a:solidFill>
                <a:srgbClr val="C10A27"/>
              </a:solidFill>
            </a:ln>
          </c:spPr>
          <c:marker>
            <c:symbol val="none"/>
          </c:marker>
          <c:cat>
            <c:strRef>
              <c:f>'Jurisdiction by industry'!$B$322:$B$332</c:f>
              <c:strCache>
                <c:ptCount val="11"/>
                <c:pt idx="0">
                  <c:v>ACT Private</c:v>
                </c:pt>
                <c:pt idx="1">
                  <c:v>Tas</c:v>
                </c:pt>
                <c:pt idx="2">
                  <c:v>SA</c:v>
                </c:pt>
                <c:pt idx="3">
                  <c:v>NT</c:v>
                </c:pt>
                <c:pt idx="4">
                  <c:v>WA</c:v>
                </c:pt>
                <c:pt idx="5">
                  <c:v>NSW</c:v>
                </c:pt>
                <c:pt idx="6">
                  <c:v>Vic</c:v>
                </c:pt>
                <c:pt idx="7">
                  <c:v>Qld</c:v>
                </c:pt>
                <c:pt idx="8">
                  <c:v>Aus Gov</c:v>
                </c:pt>
                <c:pt idx="9">
                  <c:v>Aus Av</c:v>
                </c:pt>
                <c:pt idx="10">
                  <c:v>NZ</c:v>
                </c:pt>
              </c:strCache>
            </c:strRef>
          </c:cat>
          <c:val>
            <c:numRef>
              <c:f>'Jurisdiction by industry'!$H$322:$H$332</c:f>
              <c:numCache>
                <c:formatCode>0.00</c:formatCode>
                <c:ptCount val="11"/>
                <c:pt idx="0">
                  <c:v>1.484195839918248</c:v>
                </c:pt>
                <c:pt idx="1">
                  <c:v>1.484195839918248</c:v>
                </c:pt>
                <c:pt idx="2">
                  <c:v>1.484195839918248</c:v>
                </c:pt>
                <c:pt idx="3">
                  <c:v>1.484195839918248</c:v>
                </c:pt>
                <c:pt idx="4">
                  <c:v>1.484195839918248</c:v>
                </c:pt>
                <c:pt idx="5">
                  <c:v>1.484195839918248</c:v>
                </c:pt>
                <c:pt idx="6">
                  <c:v>1.484195839918248</c:v>
                </c:pt>
                <c:pt idx="7">
                  <c:v>1.484195839918248</c:v>
                </c:pt>
                <c:pt idx="8">
                  <c:v>1.484195839918248</c:v>
                </c:pt>
              </c:numCache>
            </c:numRef>
          </c:val>
          <c:smooth val="0"/>
          <c:extLst>
            <c:ext xmlns:c16="http://schemas.microsoft.com/office/drawing/2014/chart" uri="{C3380CC4-5D6E-409C-BE32-E72D297353CC}">
              <c16:uniqueId val="{00000005-1ABD-42B8-A7F0-F7ED2FEFE567}"/>
            </c:ext>
          </c:extLst>
        </c:ser>
        <c:dLbls>
          <c:showLegendKey val="0"/>
          <c:showVal val="0"/>
          <c:showCatName val="0"/>
          <c:showSerName val="0"/>
          <c:showPercent val="0"/>
          <c:showBubbleSize val="0"/>
        </c:dLbls>
        <c:marker val="1"/>
        <c:smooth val="0"/>
        <c:axId val="261663360"/>
        <c:axId val="261677440"/>
      </c:lineChart>
      <c:catAx>
        <c:axId val="261663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77440"/>
        <c:crosses val="autoZero"/>
        <c:auto val="1"/>
        <c:lblAlgn val="ctr"/>
        <c:lblOffset val="100"/>
        <c:tickMarkSkip val="1"/>
        <c:noMultiLvlLbl val="0"/>
      </c:catAx>
      <c:valAx>
        <c:axId val="261677440"/>
        <c:scaling>
          <c:orientation val="minMax"/>
          <c:max val="3"/>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87651823483E-2"/>
              <c:y val="0.1845925418153762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63360"/>
        <c:crosses val="autoZero"/>
        <c:crossBetween val="between"/>
        <c:majorUnit val="0.5"/>
        <c:minorUnit val="0.5"/>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125665443652004"/>
          <c:y val="9.3272171253822631E-2"/>
          <c:w val="0.82408419097890984"/>
          <c:h val="0.56192723481314821"/>
        </c:manualLayout>
      </c:layout>
      <c:barChart>
        <c:barDir val="col"/>
        <c:grouping val="clustered"/>
        <c:varyColors val="0"/>
        <c:ser>
          <c:idx val="3"/>
          <c:order val="0"/>
          <c:tx>
            <c:strRef>
              <c:f>Industry!$C$6</c:f>
              <c:strCache>
                <c:ptCount val="1"/>
                <c:pt idx="0">
                  <c:v>2017-18</c:v>
                </c:pt>
              </c:strCache>
            </c:strRef>
          </c:tx>
          <c:spPr>
            <a:solidFill>
              <a:srgbClr val="D9D9D9"/>
            </a:solidFill>
            <a:ln w="6350">
              <a:solidFill>
                <a:srgbClr val="000000"/>
              </a:solidFill>
            </a:ln>
          </c:spPr>
          <c:invertIfNegative val="0"/>
          <c:cat>
            <c:strRef>
              <c:f>Industry!$B$7:$B$26</c:f>
              <c:strCache>
                <c:ptCount val="20"/>
                <c:pt idx="0">
                  <c:v>A</c:v>
                </c:pt>
                <c:pt idx="1">
                  <c:v>I</c:v>
                </c:pt>
                <c:pt idx="2">
                  <c:v>E</c:v>
                </c:pt>
                <c:pt idx="3">
                  <c:v>C</c:v>
                </c:pt>
                <c:pt idx="4">
                  <c:v>N</c:v>
                </c:pt>
                <c:pt idx="5">
                  <c:v>O</c:v>
                </c:pt>
                <c:pt idx="6">
                  <c:v>R</c:v>
                </c:pt>
                <c:pt idx="7">
                  <c:v>G</c:v>
                </c:pt>
                <c:pt idx="8">
                  <c:v>H</c:v>
                </c:pt>
                <c:pt idx="9">
                  <c:v>Q</c:v>
                </c:pt>
                <c:pt idx="10">
                  <c:v>B</c:v>
                </c:pt>
                <c:pt idx="11">
                  <c:v>S</c:v>
                </c:pt>
                <c:pt idx="12">
                  <c:v>D</c:v>
                </c:pt>
                <c:pt idx="13">
                  <c:v>F</c:v>
                </c:pt>
                <c:pt idx="14">
                  <c:v>P</c:v>
                </c:pt>
                <c:pt idx="15">
                  <c:v>L</c:v>
                </c:pt>
                <c:pt idx="16">
                  <c:v>J</c:v>
                </c:pt>
                <c:pt idx="17">
                  <c:v>M</c:v>
                </c:pt>
                <c:pt idx="18">
                  <c:v>K</c:v>
                </c:pt>
                <c:pt idx="19">
                  <c:v>Aus Av</c:v>
                </c:pt>
              </c:strCache>
              <c:extLst/>
            </c:strRef>
          </c:cat>
          <c:val>
            <c:numRef>
              <c:f>Industry!$C$7:$C$26</c:f>
              <c:numCache>
                <c:formatCode>0.00</c:formatCode>
                <c:ptCount val="20"/>
                <c:pt idx="0">
                  <c:v>3.4146348336447785</c:v>
                </c:pt>
                <c:pt idx="1">
                  <c:v>2.3224077004740775</c:v>
                </c:pt>
                <c:pt idx="2">
                  <c:v>2.1421881068911386</c:v>
                </c:pt>
                <c:pt idx="3">
                  <c:v>2.24965993383009</c:v>
                </c:pt>
                <c:pt idx="4">
                  <c:v>1.5771145026388378</c:v>
                </c:pt>
                <c:pt idx="5">
                  <c:v>1.6569436692485087</c:v>
                </c:pt>
                <c:pt idx="6">
                  <c:v>1.6623021284995598</c:v>
                </c:pt>
                <c:pt idx="7">
                  <c:v>1.5341180935063905</c:v>
                </c:pt>
                <c:pt idx="8">
                  <c:v>1.6047764329962526</c:v>
                </c:pt>
                <c:pt idx="9">
                  <c:v>1.4976863831475669</c:v>
                </c:pt>
                <c:pt idx="10">
                  <c:v>1.410724052947687</c:v>
                </c:pt>
                <c:pt idx="11">
                  <c:v>1.277506687601732</c:v>
                </c:pt>
                <c:pt idx="12">
                  <c:v>1.267778234550565</c:v>
                </c:pt>
                <c:pt idx="13">
                  <c:v>1.0448334099135632</c:v>
                </c:pt>
                <c:pt idx="14">
                  <c:v>0.7167740699008176</c:v>
                </c:pt>
                <c:pt idx="15">
                  <c:v>0.66755820151674783</c:v>
                </c:pt>
                <c:pt idx="16">
                  <c:v>0.34374651386891164</c:v>
                </c:pt>
                <c:pt idx="17">
                  <c:v>0.28997026905237644</c:v>
                </c:pt>
                <c:pt idx="18">
                  <c:v>0.24198865692536842</c:v>
                </c:pt>
                <c:pt idx="19">
                  <c:v>1.3211790385962259</c:v>
                </c:pt>
              </c:numCache>
              <c:extLst/>
            </c:numRef>
          </c:val>
          <c:extLst>
            <c:ext xmlns:c16="http://schemas.microsoft.com/office/drawing/2014/chart" uri="{C3380CC4-5D6E-409C-BE32-E72D297353CC}">
              <c16:uniqueId val="{00000000-A6D8-4382-A0E7-3784EADF4F00}"/>
            </c:ext>
          </c:extLst>
        </c:ser>
        <c:ser>
          <c:idx val="4"/>
          <c:order val="1"/>
          <c:tx>
            <c:strRef>
              <c:f>Industry!$D$6</c:f>
              <c:strCache>
                <c:ptCount val="1"/>
                <c:pt idx="0">
                  <c:v>2018-19</c:v>
                </c:pt>
              </c:strCache>
            </c:strRef>
          </c:tx>
          <c:spPr>
            <a:solidFill>
              <a:srgbClr val="A6A6A6"/>
            </a:solidFill>
            <a:ln w="6350">
              <a:solidFill>
                <a:srgbClr val="000000"/>
              </a:solidFill>
            </a:ln>
          </c:spPr>
          <c:invertIfNegative val="0"/>
          <c:cat>
            <c:strRef>
              <c:f>Industry!$B$7:$B$26</c:f>
              <c:strCache>
                <c:ptCount val="20"/>
                <c:pt idx="0">
                  <c:v>A</c:v>
                </c:pt>
                <c:pt idx="1">
                  <c:v>I</c:v>
                </c:pt>
                <c:pt idx="2">
                  <c:v>E</c:v>
                </c:pt>
                <c:pt idx="3">
                  <c:v>C</c:v>
                </c:pt>
                <c:pt idx="4">
                  <c:v>N</c:v>
                </c:pt>
                <c:pt idx="5">
                  <c:v>O</c:v>
                </c:pt>
                <c:pt idx="6">
                  <c:v>R</c:v>
                </c:pt>
                <c:pt idx="7">
                  <c:v>G</c:v>
                </c:pt>
                <c:pt idx="8">
                  <c:v>H</c:v>
                </c:pt>
                <c:pt idx="9">
                  <c:v>Q</c:v>
                </c:pt>
                <c:pt idx="10">
                  <c:v>B</c:v>
                </c:pt>
                <c:pt idx="11">
                  <c:v>S</c:v>
                </c:pt>
                <c:pt idx="12">
                  <c:v>D</c:v>
                </c:pt>
                <c:pt idx="13">
                  <c:v>F</c:v>
                </c:pt>
                <c:pt idx="14">
                  <c:v>P</c:v>
                </c:pt>
                <c:pt idx="15">
                  <c:v>L</c:v>
                </c:pt>
                <c:pt idx="16">
                  <c:v>J</c:v>
                </c:pt>
                <c:pt idx="17">
                  <c:v>M</c:v>
                </c:pt>
                <c:pt idx="18">
                  <c:v>K</c:v>
                </c:pt>
                <c:pt idx="19">
                  <c:v>Aus Av</c:v>
                </c:pt>
              </c:strCache>
              <c:extLst/>
            </c:strRef>
          </c:cat>
          <c:val>
            <c:numRef>
              <c:f>Industry!$D$7:$D$26</c:f>
              <c:numCache>
                <c:formatCode>0.00</c:formatCode>
                <c:ptCount val="20"/>
                <c:pt idx="0">
                  <c:v>3.4507332601395526</c:v>
                </c:pt>
                <c:pt idx="1">
                  <c:v>2.4504341284628945</c:v>
                </c:pt>
                <c:pt idx="2">
                  <c:v>2.1692242238321868</c:v>
                </c:pt>
                <c:pt idx="3">
                  <c:v>2.2324142004050569</c:v>
                </c:pt>
                <c:pt idx="4">
                  <c:v>1.5906140792033581</c:v>
                </c:pt>
                <c:pt idx="5">
                  <c:v>1.5959736370497948</c:v>
                </c:pt>
                <c:pt idx="6">
                  <c:v>1.5248956297575835</c:v>
                </c:pt>
                <c:pt idx="7">
                  <c:v>1.5351295881760667</c:v>
                </c:pt>
                <c:pt idx="8">
                  <c:v>1.6063001668254091</c:v>
                </c:pt>
                <c:pt idx="9">
                  <c:v>1.4979342255904244</c:v>
                </c:pt>
                <c:pt idx="10">
                  <c:v>1.4610748278513752</c:v>
                </c:pt>
                <c:pt idx="11">
                  <c:v>1.3020481333742153</c:v>
                </c:pt>
                <c:pt idx="12">
                  <c:v>1.2739645952885013</c:v>
                </c:pt>
                <c:pt idx="13">
                  <c:v>1.0598428582660031</c:v>
                </c:pt>
                <c:pt idx="14">
                  <c:v>0.7101537122830156</c:v>
                </c:pt>
                <c:pt idx="15">
                  <c:v>0.70632981380937754</c:v>
                </c:pt>
                <c:pt idx="16">
                  <c:v>0.32974287225972659</c:v>
                </c:pt>
                <c:pt idx="17">
                  <c:v>0.28747418499239663</c:v>
                </c:pt>
                <c:pt idx="18">
                  <c:v>0.2510831715764178</c:v>
                </c:pt>
                <c:pt idx="19">
                  <c:v>1.3321187216216119</c:v>
                </c:pt>
              </c:numCache>
              <c:extLst/>
            </c:numRef>
          </c:val>
          <c:extLst>
            <c:ext xmlns:c16="http://schemas.microsoft.com/office/drawing/2014/chart" uri="{C3380CC4-5D6E-409C-BE32-E72D297353CC}">
              <c16:uniqueId val="{00000001-A6D8-4382-A0E7-3784EADF4F00}"/>
            </c:ext>
          </c:extLst>
        </c:ser>
        <c:ser>
          <c:idx val="5"/>
          <c:order val="2"/>
          <c:tx>
            <c:strRef>
              <c:f>Industry!$E$6</c:f>
              <c:strCache>
                <c:ptCount val="1"/>
                <c:pt idx="0">
                  <c:v>2019-20</c:v>
                </c:pt>
              </c:strCache>
            </c:strRef>
          </c:tx>
          <c:spPr>
            <a:solidFill>
              <a:srgbClr val="595A5C"/>
            </a:solidFill>
            <a:ln w="6350">
              <a:solidFill>
                <a:srgbClr val="000000"/>
              </a:solidFill>
            </a:ln>
          </c:spPr>
          <c:invertIfNegative val="0"/>
          <c:cat>
            <c:strRef>
              <c:f>Industry!$B$7:$B$26</c:f>
              <c:strCache>
                <c:ptCount val="20"/>
                <c:pt idx="0">
                  <c:v>A</c:v>
                </c:pt>
                <c:pt idx="1">
                  <c:v>I</c:v>
                </c:pt>
                <c:pt idx="2">
                  <c:v>E</c:v>
                </c:pt>
                <c:pt idx="3">
                  <c:v>C</c:v>
                </c:pt>
                <c:pt idx="4">
                  <c:v>N</c:v>
                </c:pt>
                <c:pt idx="5">
                  <c:v>O</c:v>
                </c:pt>
                <c:pt idx="6">
                  <c:v>R</c:v>
                </c:pt>
                <c:pt idx="7">
                  <c:v>G</c:v>
                </c:pt>
                <c:pt idx="8">
                  <c:v>H</c:v>
                </c:pt>
                <c:pt idx="9">
                  <c:v>Q</c:v>
                </c:pt>
                <c:pt idx="10">
                  <c:v>B</c:v>
                </c:pt>
                <c:pt idx="11">
                  <c:v>S</c:v>
                </c:pt>
                <c:pt idx="12">
                  <c:v>D</c:v>
                </c:pt>
                <c:pt idx="13">
                  <c:v>F</c:v>
                </c:pt>
                <c:pt idx="14">
                  <c:v>P</c:v>
                </c:pt>
                <c:pt idx="15">
                  <c:v>L</c:v>
                </c:pt>
                <c:pt idx="16">
                  <c:v>J</c:v>
                </c:pt>
                <c:pt idx="17">
                  <c:v>M</c:v>
                </c:pt>
                <c:pt idx="18">
                  <c:v>K</c:v>
                </c:pt>
                <c:pt idx="19">
                  <c:v>Aus Av</c:v>
                </c:pt>
              </c:strCache>
              <c:extLst/>
            </c:strRef>
          </c:cat>
          <c:val>
            <c:numRef>
              <c:f>Industry!$E$7:$E$26</c:f>
              <c:numCache>
                <c:formatCode>0.00</c:formatCode>
                <c:ptCount val="20"/>
                <c:pt idx="0">
                  <c:v>3.5351866335556483</c:v>
                </c:pt>
                <c:pt idx="1">
                  <c:v>2.4428161909764103</c:v>
                </c:pt>
                <c:pt idx="2">
                  <c:v>2.203570588463903</c:v>
                </c:pt>
                <c:pt idx="3">
                  <c:v>2.2347030607310034</c:v>
                </c:pt>
                <c:pt idx="4">
                  <c:v>1.6194368081648585</c:v>
                </c:pt>
                <c:pt idx="5">
                  <c:v>1.5315881913868463</c:v>
                </c:pt>
                <c:pt idx="6">
                  <c:v>1.4774083673940313</c:v>
                </c:pt>
                <c:pt idx="7">
                  <c:v>1.5693982467604304</c:v>
                </c:pt>
                <c:pt idx="8">
                  <c:v>1.5625395224414653</c:v>
                </c:pt>
                <c:pt idx="9">
                  <c:v>1.4964583565614353</c:v>
                </c:pt>
                <c:pt idx="10">
                  <c:v>1.4992713853427901</c:v>
                </c:pt>
                <c:pt idx="11">
                  <c:v>1.3086655413828481</c:v>
                </c:pt>
                <c:pt idx="12">
                  <c:v>1.281649308172172</c:v>
                </c:pt>
                <c:pt idx="13">
                  <c:v>1.0714829989926249</c:v>
                </c:pt>
                <c:pt idx="14">
                  <c:v>0.68845448828917521</c:v>
                </c:pt>
                <c:pt idx="15">
                  <c:v>0.71568084412735744</c:v>
                </c:pt>
                <c:pt idx="16">
                  <c:v>0.34791789734110345</c:v>
                </c:pt>
                <c:pt idx="17">
                  <c:v>0.28629075425749734</c:v>
                </c:pt>
                <c:pt idx="18">
                  <c:v>0.23999485737005319</c:v>
                </c:pt>
                <c:pt idx="19">
                  <c:v>1.3251196227154707</c:v>
                </c:pt>
              </c:numCache>
              <c:extLst/>
            </c:numRef>
          </c:val>
          <c:extLst>
            <c:ext xmlns:c16="http://schemas.microsoft.com/office/drawing/2014/chart" uri="{C3380CC4-5D6E-409C-BE32-E72D297353CC}">
              <c16:uniqueId val="{00000002-A6D8-4382-A0E7-3784EADF4F00}"/>
            </c:ext>
          </c:extLst>
        </c:ser>
        <c:ser>
          <c:idx val="0"/>
          <c:order val="3"/>
          <c:tx>
            <c:strRef>
              <c:f>Industry!$F$6</c:f>
              <c:strCache>
                <c:ptCount val="1"/>
                <c:pt idx="0">
                  <c:v>2020-21</c:v>
                </c:pt>
              </c:strCache>
            </c:strRef>
          </c:tx>
          <c:spPr>
            <a:solidFill>
              <a:srgbClr val="3C3C3E"/>
            </a:solidFill>
            <a:ln w="6350">
              <a:solidFill>
                <a:srgbClr val="000000"/>
              </a:solidFill>
            </a:ln>
          </c:spPr>
          <c:invertIfNegative val="0"/>
          <c:dPt>
            <c:idx val="17"/>
            <c:invertIfNegative val="0"/>
            <c:bubble3D val="0"/>
            <c:extLst>
              <c:ext xmlns:c16="http://schemas.microsoft.com/office/drawing/2014/chart" uri="{C3380CC4-5D6E-409C-BE32-E72D297353CC}">
                <c16:uniqueId val="{00000003-A6D8-4382-A0E7-3784EADF4F00}"/>
              </c:ext>
            </c:extLst>
          </c:dPt>
          <c:cat>
            <c:strRef>
              <c:f>Industry!$B$7:$B$26</c:f>
              <c:strCache>
                <c:ptCount val="20"/>
                <c:pt idx="0">
                  <c:v>A</c:v>
                </c:pt>
                <c:pt idx="1">
                  <c:v>I</c:v>
                </c:pt>
                <c:pt idx="2">
                  <c:v>E</c:v>
                </c:pt>
                <c:pt idx="3">
                  <c:v>C</c:v>
                </c:pt>
                <c:pt idx="4">
                  <c:v>N</c:v>
                </c:pt>
                <c:pt idx="5">
                  <c:v>O</c:v>
                </c:pt>
                <c:pt idx="6">
                  <c:v>R</c:v>
                </c:pt>
                <c:pt idx="7">
                  <c:v>G</c:v>
                </c:pt>
                <c:pt idx="8">
                  <c:v>H</c:v>
                </c:pt>
                <c:pt idx="9">
                  <c:v>Q</c:v>
                </c:pt>
                <c:pt idx="10">
                  <c:v>B</c:v>
                </c:pt>
                <c:pt idx="11">
                  <c:v>S</c:v>
                </c:pt>
                <c:pt idx="12">
                  <c:v>D</c:v>
                </c:pt>
                <c:pt idx="13">
                  <c:v>F</c:v>
                </c:pt>
                <c:pt idx="14">
                  <c:v>P</c:v>
                </c:pt>
                <c:pt idx="15">
                  <c:v>L</c:v>
                </c:pt>
                <c:pt idx="16">
                  <c:v>J</c:v>
                </c:pt>
                <c:pt idx="17">
                  <c:v>M</c:v>
                </c:pt>
                <c:pt idx="18">
                  <c:v>K</c:v>
                </c:pt>
                <c:pt idx="19">
                  <c:v>Aus Av</c:v>
                </c:pt>
              </c:strCache>
              <c:extLst/>
            </c:strRef>
          </c:cat>
          <c:val>
            <c:numRef>
              <c:f>Industry!$F$7:$F$26</c:f>
              <c:numCache>
                <c:formatCode>0.00</c:formatCode>
                <c:ptCount val="20"/>
                <c:pt idx="0">
                  <c:v>3.5890261798453302</c:v>
                </c:pt>
                <c:pt idx="1">
                  <c:v>2.4749804610748067</c:v>
                </c:pt>
                <c:pt idx="2">
                  <c:v>2.2497218804367929</c:v>
                </c:pt>
                <c:pt idx="3">
                  <c:v>2.2434951225987478</c:v>
                </c:pt>
                <c:pt idx="4">
                  <c:v>1.7708124458930534</c:v>
                </c:pt>
                <c:pt idx="5">
                  <c:v>1.6077285757212241</c:v>
                </c:pt>
                <c:pt idx="6">
                  <c:v>1.522350168702084</c:v>
                </c:pt>
                <c:pt idx="7">
                  <c:v>1.5689557144670037</c:v>
                </c:pt>
                <c:pt idx="8">
                  <c:v>1.5309672113594803</c:v>
                </c:pt>
                <c:pt idx="9">
                  <c:v>1.5164175200670267</c:v>
                </c:pt>
                <c:pt idx="10">
                  <c:v>1.4803025160634962</c:v>
                </c:pt>
                <c:pt idx="11">
                  <c:v>1.3337507231525083</c:v>
                </c:pt>
                <c:pt idx="12">
                  <c:v>1.2720283954098248</c:v>
                </c:pt>
                <c:pt idx="13">
                  <c:v>1.0798603645749856</c:v>
                </c:pt>
                <c:pt idx="14">
                  <c:v>0.73482672684257677</c:v>
                </c:pt>
                <c:pt idx="15">
                  <c:v>0.73130679273525301</c:v>
                </c:pt>
                <c:pt idx="16">
                  <c:v>0.33689273551217402</c:v>
                </c:pt>
                <c:pt idx="17">
                  <c:v>0.29286263965433901</c:v>
                </c:pt>
                <c:pt idx="18">
                  <c:v>0.23333599444442088</c:v>
                </c:pt>
                <c:pt idx="19">
                  <c:v>1.3442892355695184</c:v>
                </c:pt>
              </c:numCache>
              <c:extLst/>
            </c:numRef>
          </c:val>
          <c:extLst>
            <c:ext xmlns:c16="http://schemas.microsoft.com/office/drawing/2014/chart" uri="{C3380CC4-5D6E-409C-BE32-E72D297353CC}">
              <c16:uniqueId val="{00000004-A6D8-4382-A0E7-3784EADF4F00}"/>
            </c:ext>
          </c:extLst>
        </c:ser>
        <c:ser>
          <c:idx val="1"/>
          <c:order val="4"/>
          <c:tx>
            <c:strRef>
              <c:f>Industry!$G$6</c:f>
              <c:strCache>
                <c:ptCount val="1"/>
                <c:pt idx="0">
                  <c:v>2021-22</c:v>
                </c:pt>
              </c:strCache>
            </c:strRef>
          </c:tx>
          <c:spPr>
            <a:solidFill>
              <a:srgbClr val="C10A27"/>
            </a:solidFill>
            <a:ln w="6350">
              <a:solidFill>
                <a:srgbClr val="000000"/>
              </a:solidFill>
            </a:ln>
          </c:spPr>
          <c:invertIfNegative val="0"/>
          <c:cat>
            <c:strRef>
              <c:f>Industry!$B$7:$B$26</c:f>
              <c:strCache>
                <c:ptCount val="20"/>
                <c:pt idx="0">
                  <c:v>A</c:v>
                </c:pt>
                <c:pt idx="1">
                  <c:v>I</c:v>
                </c:pt>
                <c:pt idx="2">
                  <c:v>E</c:v>
                </c:pt>
                <c:pt idx="3">
                  <c:v>C</c:v>
                </c:pt>
                <c:pt idx="4">
                  <c:v>N</c:v>
                </c:pt>
                <c:pt idx="5">
                  <c:v>O</c:v>
                </c:pt>
                <c:pt idx="6">
                  <c:v>R</c:v>
                </c:pt>
                <c:pt idx="7">
                  <c:v>G</c:v>
                </c:pt>
                <c:pt idx="8">
                  <c:v>H</c:v>
                </c:pt>
                <c:pt idx="9">
                  <c:v>Q</c:v>
                </c:pt>
                <c:pt idx="10">
                  <c:v>B</c:v>
                </c:pt>
                <c:pt idx="11">
                  <c:v>S</c:v>
                </c:pt>
                <c:pt idx="12">
                  <c:v>D</c:v>
                </c:pt>
                <c:pt idx="13">
                  <c:v>F</c:v>
                </c:pt>
                <c:pt idx="14">
                  <c:v>P</c:v>
                </c:pt>
                <c:pt idx="15">
                  <c:v>L</c:v>
                </c:pt>
                <c:pt idx="16">
                  <c:v>J</c:v>
                </c:pt>
                <c:pt idx="17">
                  <c:v>M</c:v>
                </c:pt>
                <c:pt idx="18">
                  <c:v>K</c:v>
                </c:pt>
                <c:pt idx="19">
                  <c:v>Aus Av</c:v>
                </c:pt>
              </c:strCache>
              <c:extLst/>
            </c:strRef>
          </c:cat>
          <c:val>
            <c:numRef>
              <c:f>Industry!$G$7:$G$26</c:f>
              <c:numCache>
                <c:formatCode>0.00</c:formatCode>
                <c:ptCount val="20"/>
                <c:pt idx="0">
                  <c:v>3.591247544013735</c:v>
                </c:pt>
                <c:pt idx="1">
                  <c:v>2.4572667528510488</c:v>
                </c:pt>
                <c:pt idx="2">
                  <c:v>2.2878510573110931</c:v>
                </c:pt>
                <c:pt idx="3">
                  <c:v>2.2355896215609921</c:v>
                </c:pt>
                <c:pt idx="4">
                  <c:v>1.7580825742904278</c:v>
                </c:pt>
                <c:pt idx="5">
                  <c:v>1.6102341099992639</c:v>
                </c:pt>
                <c:pt idx="6">
                  <c:v>1.5578718881754523</c:v>
                </c:pt>
                <c:pt idx="7">
                  <c:v>1.5436193004804031</c:v>
                </c:pt>
                <c:pt idx="8">
                  <c:v>1.502673431227824</c:v>
                </c:pt>
                <c:pt idx="9">
                  <c:v>1.484195839918248</c:v>
                </c:pt>
                <c:pt idx="10">
                  <c:v>1.4806772491248239</c:v>
                </c:pt>
                <c:pt idx="11">
                  <c:v>1.3633877869369635</c:v>
                </c:pt>
                <c:pt idx="12">
                  <c:v>1.252107036352553</c:v>
                </c:pt>
                <c:pt idx="13">
                  <c:v>1.0868814551811643</c:v>
                </c:pt>
                <c:pt idx="14">
                  <c:v>0.77627141098050123</c:v>
                </c:pt>
                <c:pt idx="15">
                  <c:v>0.73264727172817401</c:v>
                </c:pt>
                <c:pt idx="16">
                  <c:v>0.34423910142940706</c:v>
                </c:pt>
                <c:pt idx="17">
                  <c:v>0.29297733064125647</c:v>
                </c:pt>
                <c:pt idx="18">
                  <c:v>0.24494738600983929</c:v>
                </c:pt>
                <c:pt idx="19">
                  <c:v>1.3433976126189096</c:v>
                </c:pt>
              </c:numCache>
              <c:extLst/>
            </c:numRef>
          </c:val>
          <c:extLst>
            <c:ext xmlns:c16="http://schemas.microsoft.com/office/drawing/2014/chart" uri="{C3380CC4-5D6E-409C-BE32-E72D297353CC}">
              <c16:uniqueId val="{00000005-A6D8-4382-A0E7-3784EADF4F00}"/>
            </c:ext>
          </c:extLst>
        </c:ser>
        <c:dLbls>
          <c:showLegendKey val="0"/>
          <c:showVal val="0"/>
          <c:showCatName val="0"/>
          <c:showSerName val="0"/>
          <c:showPercent val="0"/>
          <c:showBubbleSize val="0"/>
        </c:dLbls>
        <c:gapWidth val="150"/>
        <c:axId val="218364544"/>
        <c:axId val="218182016"/>
      </c:barChart>
      <c:lineChart>
        <c:grouping val="standard"/>
        <c:varyColors val="0"/>
        <c:ser>
          <c:idx val="2"/>
          <c:order val="5"/>
          <c:tx>
            <c:strRef>
              <c:f>Industry!$H$6</c:f>
              <c:strCache>
                <c:ptCount val="1"/>
                <c:pt idx="0">
                  <c:v>2021-22 Aus av</c:v>
                </c:pt>
              </c:strCache>
            </c:strRef>
          </c:tx>
          <c:spPr>
            <a:ln w="25400">
              <a:solidFill>
                <a:srgbClr val="C00000"/>
              </a:solidFill>
              <a:prstDash val="solid"/>
            </a:ln>
          </c:spPr>
          <c:marker>
            <c:symbol val="none"/>
          </c:marker>
          <c:cat>
            <c:strRef>
              <c:f>Industry!$B$7:$B$26</c:f>
              <c:strCache>
                <c:ptCount val="20"/>
                <c:pt idx="0">
                  <c:v>A</c:v>
                </c:pt>
                <c:pt idx="1">
                  <c:v>I</c:v>
                </c:pt>
                <c:pt idx="2">
                  <c:v>E</c:v>
                </c:pt>
                <c:pt idx="3">
                  <c:v>C</c:v>
                </c:pt>
                <c:pt idx="4">
                  <c:v>N</c:v>
                </c:pt>
                <c:pt idx="5">
                  <c:v>O</c:v>
                </c:pt>
                <c:pt idx="6">
                  <c:v>R</c:v>
                </c:pt>
                <c:pt idx="7">
                  <c:v>G</c:v>
                </c:pt>
                <c:pt idx="8">
                  <c:v>H</c:v>
                </c:pt>
                <c:pt idx="9">
                  <c:v>Q</c:v>
                </c:pt>
                <c:pt idx="10">
                  <c:v>B</c:v>
                </c:pt>
                <c:pt idx="11">
                  <c:v>S</c:v>
                </c:pt>
                <c:pt idx="12">
                  <c:v>D</c:v>
                </c:pt>
                <c:pt idx="13">
                  <c:v>F</c:v>
                </c:pt>
                <c:pt idx="14">
                  <c:v>P</c:v>
                </c:pt>
                <c:pt idx="15">
                  <c:v>L</c:v>
                </c:pt>
                <c:pt idx="16">
                  <c:v>J</c:v>
                </c:pt>
                <c:pt idx="17">
                  <c:v>M</c:v>
                </c:pt>
                <c:pt idx="18">
                  <c:v>K</c:v>
                </c:pt>
                <c:pt idx="19">
                  <c:v>Aus Av</c:v>
                </c:pt>
              </c:strCache>
              <c:extLst/>
            </c:strRef>
          </c:cat>
          <c:val>
            <c:numRef>
              <c:f>Industry!$H$7:$H$25</c:f>
              <c:numCache>
                <c:formatCode>0.00</c:formatCode>
                <c:ptCount val="19"/>
                <c:pt idx="0">
                  <c:v>1.3433976126189096</c:v>
                </c:pt>
                <c:pt idx="1">
                  <c:v>1.3433976126189096</c:v>
                </c:pt>
                <c:pt idx="2">
                  <c:v>1.3433976126189096</c:v>
                </c:pt>
                <c:pt idx="3">
                  <c:v>1.3433976126189096</c:v>
                </c:pt>
                <c:pt idx="4">
                  <c:v>1.3433976126189096</c:v>
                </c:pt>
                <c:pt idx="5">
                  <c:v>1.3433976126189096</c:v>
                </c:pt>
                <c:pt idx="6">
                  <c:v>1.3433976126189096</c:v>
                </c:pt>
                <c:pt idx="7">
                  <c:v>1.3433976126189096</c:v>
                </c:pt>
                <c:pt idx="8">
                  <c:v>1.3433976126189096</c:v>
                </c:pt>
                <c:pt idx="9">
                  <c:v>1.3433976126189096</c:v>
                </c:pt>
                <c:pt idx="10">
                  <c:v>1.3433976126189096</c:v>
                </c:pt>
                <c:pt idx="11">
                  <c:v>1.3433976126189096</c:v>
                </c:pt>
                <c:pt idx="12">
                  <c:v>1.3433976126189096</c:v>
                </c:pt>
                <c:pt idx="13">
                  <c:v>1.3433976126189096</c:v>
                </c:pt>
                <c:pt idx="14">
                  <c:v>1.3433976126189096</c:v>
                </c:pt>
                <c:pt idx="15">
                  <c:v>1.3433976126189096</c:v>
                </c:pt>
                <c:pt idx="16">
                  <c:v>1.3433976126189096</c:v>
                </c:pt>
                <c:pt idx="17">
                  <c:v>1.3433976126189096</c:v>
                </c:pt>
                <c:pt idx="18">
                  <c:v>1.3433976126189096</c:v>
                </c:pt>
              </c:numCache>
              <c:extLst/>
            </c:numRef>
          </c:val>
          <c:smooth val="0"/>
          <c:extLst>
            <c:ext xmlns:c16="http://schemas.microsoft.com/office/drawing/2014/chart" uri="{C3380CC4-5D6E-409C-BE32-E72D297353CC}">
              <c16:uniqueId val="{00000006-A6D8-4382-A0E7-3784EADF4F00}"/>
            </c:ext>
          </c:extLst>
        </c:ser>
        <c:dLbls>
          <c:showLegendKey val="0"/>
          <c:showVal val="0"/>
          <c:showCatName val="0"/>
          <c:showSerName val="0"/>
          <c:showPercent val="0"/>
          <c:showBubbleSize val="0"/>
        </c:dLbls>
        <c:marker val="1"/>
        <c:smooth val="0"/>
        <c:axId val="218364544"/>
        <c:axId val="218182016"/>
      </c:lineChart>
      <c:catAx>
        <c:axId val="218364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218182016"/>
        <c:crosses val="autoZero"/>
        <c:auto val="1"/>
        <c:lblAlgn val="ctr"/>
        <c:lblOffset val="100"/>
        <c:tickMarkSkip val="1"/>
        <c:noMultiLvlLbl val="0"/>
      </c:catAx>
      <c:valAx>
        <c:axId val="218182016"/>
        <c:scaling>
          <c:orientation val="minMax"/>
          <c:max val="4"/>
          <c:min val="0"/>
        </c:scaling>
        <c:delete val="0"/>
        <c:axPos val="l"/>
        <c:majorGridlines>
          <c:spPr>
            <a:ln w="3175">
              <a:solidFill>
                <a:srgbClr val="808080"/>
              </a:solidFill>
              <a:prstDash val="solid"/>
            </a:ln>
          </c:spPr>
        </c:majorGridlines>
        <c:title>
          <c:tx>
            <c:rich>
              <a:bodyPr/>
              <a:lstStyle/>
              <a:p>
                <a:pPr>
                  <a:defRPr sz="900" b="0" i="0" u="none" strike="noStrike" baseline="0">
                    <a:solidFill>
                      <a:srgbClr val="000000"/>
                    </a:solidFill>
                    <a:latin typeface="Arial"/>
                    <a:ea typeface="Arial"/>
                    <a:cs typeface="Arial"/>
                  </a:defRPr>
                </a:pPr>
                <a:r>
                  <a:rPr lang="en-AU" sz="900"/>
                  <a:t>% of payroll</a:t>
                </a:r>
              </a:p>
            </c:rich>
          </c:tx>
          <c:layout>
            <c:manualLayout>
              <c:xMode val="edge"/>
              <c:yMode val="edge"/>
              <c:x val="8.3590268348650201E-2"/>
              <c:y val="0.2912845926479664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18364544"/>
        <c:crosses val="autoZero"/>
        <c:crossBetween val="between"/>
        <c:majorUnit val="0.5"/>
        <c:minorUnit val="0.2"/>
      </c:valAx>
      <c:dTable>
        <c:showHorzBorder val="0"/>
        <c:showVertBorder val="0"/>
        <c:showOutline val="0"/>
        <c:showKeys val="1"/>
        <c:spPr>
          <a:ln w="3175">
            <a:solidFill>
              <a:srgbClr val="000000"/>
            </a:solidFill>
            <a:prstDash val="solid"/>
          </a:ln>
        </c:spPr>
        <c:txPr>
          <a:bodyPr/>
          <a:lstStyle/>
          <a:p>
            <a:pPr rtl="0">
              <a:defRPr sz="900" b="0" i="0" u="none" strike="noStrike" baseline="0">
                <a:solidFill>
                  <a:srgbClr val="000000"/>
                </a:solidFill>
                <a:latin typeface="Arial"/>
                <a:ea typeface="Arial"/>
                <a:cs typeface="Arial"/>
              </a:defRPr>
            </a:pPr>
            <a:endParaRPr lang="en-US"/>
          </a:p>
        </c:txPr>
      </c:dTable>
      <c:spPr>
        <a:noFill/>
        <a:ln w="12700">
          <a:solidFill>
            <a:srgbClr val="808080"/>
          </a:solidFill>
          <a:prstDash val="solid"/>
        </a:ln>
      </c:spPr>
    </c:plotArea>
    <c:plotVisOnly val="1"/>
    <c:dispBlanksAs val="gap"/>
    <c:showDLblsOverMax val="0"/>
  </c:chart>
  <c:spPr>
    <a:solidFill>
      <a:srgbClr val="FFFFFF"/>
    </a:solidFill>
    <a:ln w="9525">
      <a:noFill/>
    </a:ln>
  </c:spPr>
  <c:txPr>
    <a:bodyPr/>
    <a:lstStyle/>
    <a:p>
      <a:pPr>
        <a:defRPr sz="1475"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5407061930331484E-2"/>
          <c:w val="0.79096157364756636"/>
          <c:h val="0.55952418195592657"/>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ysClr val="windowText" lastClr="000000"/>
              </a:solidFill>
            </a:ln>
          </c:spPr>
          <c:invertIfNegative val="0"/>
          <c:cat>
            <c:strRef>
              <c:f>'Jurisdiction by industry'!$A$358:$A$368</c:f>
              <c:strCache>
                <c:ptCount val="11"/>
                <c:pt idx="0">
                  <c:v>ACT Private</c:v>
                </c:pt>
                <c:pt idx="1">
                  <c:v>Tas</c:v>
                </c:pt>
                <c:pt idx="2">
                  <c:v>NSW</c:v>
                </c:pt>
                <c:pt idx="3">
                  <c:v>NT</c:v>
                </c:pt>
                <c:pt idx="4">
                  <c:v>WA</c:v>
                </c:pt>
                <c:pt idx="5">
                  <c:v>SA</c:v>
                </c:pt>
                <c:pt idx="6">
                  <c:v>Vic</c:v>
                </c:pt>
                <c:pt idx="7">
                  <c:v>Qld</c:v>
                </c:pt>
                <c:pt idx="8">
                  <c:v>Comcare</c:v>
                </c:pt>
                <c:pt idx="9">
                  <c:v>Aus Av</c:v>
                </c:pt>
                <c:pt idx="10">
                  <c:v>NZ</c:v>
                </c:pt>
              </c:strCache>
            </c:strRef>
          </c:cat>
          <c:val>
            <c:numRef>
              <c:f>'Jurisdiction by industry'!$C$358:$C$368</c:f>
              <c:numCache>
                <c:formatCode>0.00</c:formatCode>
                <c:ptCount val="11"/>
                <c:pt idx="0">
                  <c:v>1.9597747182172724</c:v>
                </c:pt>
                <c:pt idx="1">
                  <c:v>1.8385818617091172</c:v>
                </c:pt>
                <c:pt idx="2">
                  <c:v>1.679112484779441</c:v>
                </c:pt>
                <c:pt idx="3">
                  <c:v>1.7908100532409914</c:v>
                </c:pt>
                <c:pt idx="4">
                  <c:v>1.3162541503201468</c:v>
                </c:pt>
                <c:pt idx="5">
                  <c:v>1.7509014702683314</c:v>
                </c:pt>
                <c:pt idx="6">
                  <c:v>1.9075051084056505</c:v>
                </c:pt>
                <c:pt idx="7">
                  <c:v>1.2246679525245874</c:v>
                </c:pt>
                <c:pt idx="8">
                  <c:v>1.1663911383743077</c:v>
                </c:pt>
                <c:pt idx="9">
                  <c:v>1.6623021284995598</c:v>
                </c:pt>
                <c:pt idx="10">
                  <c:v>0.7524034437907775</c:v>
                </c:pt>
              </c:numCache>
            </c:numRef>
          </c:val>
          <c:extLst>
            <c:ext xmlns:c16="http://schemas.microsoft.com/office/drawing/2014/chart" uri="{C3380CC4-5D6E-409C-BE32-E72D297353CC}">
              <c16:uniqueId val="{00000000-55A1-422F-88A5-DA5EC69E1B07}"/>
            </c:ext>
          </c:extLst>
        </c:ser>
        <c:ser>
          <c:idx val="0"/>
          <c:order val="1"/>
          <c:tx>
            <c:strRef>
              <c:f>'Jurisdiction by industry'!$D$240</c:f>
              <c:strCache>
                <c:ptCount val="1"/>
                <c:pt idx="0">
                  <c:v>2018-19</c:v>
                </c:pt>
              </c:strCache>
            </c:strRef>
          </c:tx>
          <c:spPr>
            <a:solidFill>
              <a:srgbClr val="A6A6A6"/>
            </a:solidFill>
            <a:ln w="6350">
              <a:solidFill>
                <a:sysClr val="windowText" lastClr="000000"/>
              </a:solidFill>
            </a:ln>
          </c:spPr>
          <c:invertIfNegative val="0"/>
          <c:cat>
            <c:strRef>
              <c:f>'Jurisdiction by industry'!$A$358:$A$368</c:f>
              <c:strCache>
                <c:ptCount val="11"/>
                <c:pt idx="0">
                  <c:v>ACT Private</c:v>
                </c:pt>
                <c:pt idx="1">
                  <c:v>Tas</c:v>
                </c:pt>
                <c:pt idx="2">
                  <c:v>NSW</c:v>
                </c:pt>
                <c:pt idx="3">
                  <c:v>NT</c:v>
                </c:pt>
                <c:pt idx="4">
                  <c:v>WA</c:v>
                </c:pt>
                <c:pt idx="5">
                  <c:v>SA</c:v>
                </c:pt>
                <c:pt idx="6">
                  <c:v>Vic</c:v>
                </c:pt>
                <c:pt idx="7">
                  <c:v>Qld</c:v>
                </c:pt>
                <c:pt idx="8">
                  <c:v>Comcare</c:v>
                </c:pt>
                <c:pt idx="9">
                  <c:v>Aus Av</c:v>
                </c:pt>
                <c:pt idx="10">
                  <c:v>NZ</c:v>
                </c:pt>
              </c:strCache>
            </c:strRef>
          </c:cat>
          <c:val>
            <c:numRef>
              <c:f>'Jurisdiction by industry'!$D$358:$D$368</c:f>
              <c:numCache>
                <c:formatCode>0.00</c:formatCode>
                <c:ptCount val="11"/>
                <c:pt idx="0">
                  <c:v>1.9899256777279839</c:v>
                </c:pt>
                <c:pt idx="1">
                  <c:v>1.489360027938869</c:v>
                </c:pt>
                <c:pt idx="2">
                  <c:v>1.6428206642815408</c:v>
                </c:pt>
                <c:pt idx="3">
                  <c:v>1.8986911792246524</c:v>
                </c:pt>
                <c:pt idx="4">
                  <c:v>1.4071968945838693</c:v>
                </c:pt>
                <c:pt idx="5">
                  <c:v>1.6348333930032397</c:v>
                </c:pt>
                <c:pt idx="6">
                  <c:v>1.577508351885663</c:v>
                </c:pt>
                <c:pt idx="7">
                  <c:v>1.2256387769063515</c:v>
                </c:pt>
                <c:pt idx="8">
                  <c:v>0.96985010842918651</c:v>
                </c:pt>
                <c:pt idx="9">
                  <c:v>1.5248956297575835</c:v>
                </c:pt>
                <c:pt idx="10">
                  <c:v>0.74848627690338787</c:v>
                </c:pt>
              </c:numCache>
            </c:numRef>
          </c:val>
          <c:extLst>
            <c:ext xmlns:c16="http://schemas.microsoft.com/office/drawing/2014/chart" uri="{C3380CC4-5D6E-409C-BE32-E72D297353CC}">
              <c16:uniqueId val="{00000001-55A1-422F-88A5-DA5EC69E1B07}"/>
            </c:ext>
          </c:extLst>
        </c:ser>
        <c:ser>
          <c:idx val="1"/>
          <c:order val="2"/>
          <c:tx>
            <c:strRef>
              <c:f>'Jurisdiction by industry'!$E$240</c:f>
              <c:strCache>
                <c:ptCount val="1"/>
                <c:pt idx="0">
                  <c:v>2019-20</c:v>
                </c:pt>
              </c:strCache>
            </c:strRef>
          </c:tx>
          <c:spPr>
            <a:solidFill>
              <a:srgbClr val="595A5C"/>
            </a:solidFill>
            <a:ln w="6350">
              <a:solidFill>
                <a:sysClr val="windowText" lastClr="000000"/>
              </a:solidFill>
            </a:ln>
          </c:spPr>
          <c:invertIfNegative val="0"/>
          <c:cat>
            <c:strRef>
              <c:f>'Jurisdiction by industry'!$A$358:$A$368</c:f>
              <c:strCache>
                <c:ptCount val="11"/>
                <c:pt idx="0">
                  <c:v>ACT Private</c:v>
                </c:pt>
                <c:pt idx="1">
                  <c:v>Tas</c:v>
                </c:pt>
                <c:pt idx="2">
                  <c:v>NSW</c:v>
                </c:pt>
                <c:pt idx="3">
                  <c:v>NT</c:v>
                </c:pt>
                <c:pt idx="4">
                  <c:v>WA</c:v>
                </c:pt>
                <c:pt idx="5">
                  <c:v>SA</c:v>
                </c:pt>
                <c:pt idx="6">
                  <c:v>Vic</c:v>
                </c:pt>
                <c:pt idx="7">
                  <c:v>Qld</c:v>
                </c:pt>
                <c:pt idx="8">
                  <c:v>Comcare</c:v>
                </c:pt>
                <c:pt idx="9">
                  <c:v>Aus Av</c:v>
                </c:pt>
                <c:pt idx="10">
                  <c:v>NZ</c:v>
                </c:pt>
              </c:strCache>
            </c:strRef>
          </c:cat>
          <c:val>
            <c:numRef>
              <c:f>'Jurisdiction by industry'!$E$358:$E$368</c:f>
              <c:numCache>
                <c:formatCode>0.00</c:formatCode>
                <c:ptCount val="11"/>
                <c:pt idx="0">
                  <c:v>2.1240521726315795</c:v>
                </c:pt>
                <c:pt idx="1">
                  <c:v>1.5050995870725439</c:v>
                </c:pt>
                <c:pt idx="2">
                  <c:v>1.7818822562734631</c:v>
                </c:pt>
                <c:pt idx="3">
                  <c:v>1.8373851136899162</c:v>
                </c:pt>
                <c:pt idx="4">
                  <c:v>1.519847464162154</c:v>
                </c:pt>
                <c:pt idx="5">
                  <c:v>1.6899326268377071</c:v>
                </c:pt>
                <c:pt idx="6">
                  <c:v>1.3058029359010046</c:v>
                </c:pt>
                <c:pt idx="7">
                  <c:v>1.2729073617627025</c:v>
                </c:pt>
                <c:pt idx="8">
                  <c:v>0.82869841715776316</c:v>
                </c:pt>
                <c:pt idx="9">
                  <c:v>1.4774083673940313</c:v>
                </c:pt>
                <c:pt idx="10">
                  <c:v>0.71789547893095207</c:v>
                </c:pt>
              </c:numCache>
            </c:numRef>
          </c:val>
          <c:extLst>
            <c:ext xmlns:c16="http://schemas.microsoft.com/office/drawing/2014/chart" uri="{C3380CC4-5D6E-409C-BE32-E72D297353CC}">
              <c16:uniqueId val="{00000002-55A1-422F-88A5-DA5EC69E1B07}"/>
            </c:ext>
          </c:extLst>
        </c:ser>
        <c:ser>
          <c:idx val="2"/>
          <c:order val="3"/>
          <c:tx>
            <c:strRef>
              <c:f>'Jurisdiction by industry'!$F$240</c:f>
              <c:strCache>
                <c:ptCount val="1"/>
                <c:pt idx="0">
                  <c:v>2020-21</c:v>
                </c:pt>
              </c:strCache>
            </c:strRef>
          </c:tx>
          <c:spPr>
            <a:solidFill>
              <a:srgbClr val="3C3C3E"/>
            </a:solidFill>
            <a:ln w="6350">
              <a:solidFill>
                <a:sysClr val="windowText" lastClr="000000"/>
              </a:solidFill>
            </a:ln>
          </c:spPr>
          <c:invertIfNegative val="0"/>
          <c:cat>
            <c:strRef>
              <c:f>'Jurisdiction by industry'!$A$358:$A$368</c:f>
              <c:strCache>
                <c:ptCount val="11"/>
                <c:pt idx="0">
                  <c:v>ACT Private</c:v>
                </c:pt>
                <c:pt idx="1">
                  <c:v>Tas</c:v>
                </c:pt>
                <c:pt idx="2">
                  <c:v>NSW</c:v>
                </c:pt>
                <c:pt idx="3">
                  <c:v>NT</c:v>
                </c:pt>
                <c:pt idx="4">
                  <c:v>WA</c:v>
                </c:pt>
                <c:pt idx="5">
                  <c:v>SA</c:v>
                </c:pt>
                <c:pt idx="6">
                  <c:v>Vic</c:v>
                </c:pt>
                <c:pt idx="7">
                  <c:v>Qld</c:v>
                </c:pt>
                <c:pt idx="8">
                  <c:v>Comcare</c:v>
                </c:pt>
                <c:pt idx="9">
                  <c:v>Aus Av</c:v>
                </c:pt>
                <c:pt idx="10">
                  <c:v>NZ</c:v>
                </c:pt>
              </c:strCache>
            </c:strRef>
          </c:cat>
          <c:val>
            <c:numRef>
              <c:f>'Jurisdiction by industry'!$F$358:$F$368</c:f>
              <c:numCache>
                <c:formatCode>0.00</c:formatCode>
                <c:ptCount val="11"/>
                <c:pt idx="0">
                  <c:v>2.2602294026036049</c:v>
                </c:pt>
                <c:pt idx="1">
                  <c:v>1.9133253321020287</c:v>
                </c:pt>
                <c:pt idx="2">
                  <c:v>1.781392094476443</c:v>
                </c:pt>
                <c:pt idx="3">
                  <c:v>1.7645477303207677</c:v>
                </c:pt>
                <c:pt idx="4">
                  <c:v>1.6601428928489252</c:v>
                </c:pt>
                <c:pt idx="5">
                  <c:v>1.7120510499622223</c:v>
                </c:pt>
                <c:pt idx="6">
                  <c:v>1.3207340095015503</c:v>
                </c:pt>
                <c:pt idx="7">
                  <c:v>1.2822152410557264</c:v>
                </c:pt>
                <c:pt idx="8">
                  <c:v>0.78378270111806181</c:v>
                </c:pt>
                <c:pt idx="9">
                  <c:v>1.522350168702084</c:v>
                </c:pt>
                <c:pt idx="10">
                  <c:v>0.72185451963153713</c:v>
                </c:pt>
              </c:numCache>
            </c:numRef>
          </c:val>
          <c:extLst>
            <c:ext xmlns:c16="http://schemas.microsoft.com/office/drawing/2014/chart" uri="{C3380CC4-5D6E-409C-BE32-E72D297353CC}">
              <c16:uniqueId val="{00000003-55A1-422F-88A5-DA5EC69E1B07}"/>
            </c:ext>
          </c:extLst>
        </c:ser>
        <c:ser>
          <c:idx val="3"/>
          <c:order val="4"/>
          <c:tx>
            <c:strRef>
              <c:f>'Jurisdiction by industry'!$G$240</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industry'!$A$358:$A$368</c:f>
              <c:strCache>
                <c:ptCount val="11"/>
                <c:pt idx="0">
                  <c:v>ACT Private</c:v>
                </c:pt>
                <c:pt idx="1">
                  <c:v>Tas</c:v>
                </c:pt>
                <c:pt idx="2">
                  <c:v>NSW</c:v>
                </c:pt>
                <c:pt idx="3">
                  <c:v>NT</c:v>
                </c:pt>
                <c:pt idx="4">
                  <c:v>WA</c:v>
                </c:pt>
                <c:pt idx="5">
                  <c:v>SA</c:v>
                </c:pt>
                <c:pt idx="6">
                  <c:v>Vic</c:v>
                </c:pt>
                <c:pt idx="7">
                  <c:v>Qld</c:v>
                </c:pt>
                <c:pt idx="8">
                  <c:v>Comcare</c:v>
                </c:pt>
                <c:pt idx="9">
                  <c:v>Aus Av</c:v>
                </c:pt>
                <c:pt idx="10">
                  <c:v>NZ</c:v>
                </c:pt>
              </c:strCache>
            </c:strRef>
          </c:cat>
          <c:val>
            <c:numRef>
              <c:f>'Jurisdiction by industry'!$G$358:$G$368</c:f>
              <c:numCache>
                <c:formatCode>0.00</c:formatCode>
                <c:ptCount val="11"/>
                <c:pt idx="0">
                  <c:v>2.3215357510444719</c:v>
                </c:pt>
                <c:pt idx="1">
                  <c:v>1.9030768335241248</c:v>
                </c:pt>
                <c:pt idx="2">
                  <c:v>1.8458825211352208</c:v>
                </c:pt>
                <c:pt idx="3">
                  <c:v>1.8066047271155481</c:v>
                </c:pt>
                <c:pt idx="4">
                  <c:v>1.6957378060632542</c:v>
                </c:pt>
                <c:pt idx="5">
                  <c:v>1.6742368285036113</c:v>
                </c:pt>
                <c:pt idx="6">
                  <c:v>1.3730939390991193</c:v>
                </c:pt>
                <c:pt idx="7">
                  <c:v>1.290114446754703</c:v>
                </c:pt>
                <c:pt idx="8">
                  <c:v>0.61960288467189395</c:v>
                </c:pt>
                <c:pt idx="9">
                  <c:v>1.5578718881754523</c:v>
                </c:pt>
                <c:pt idx="10">
                  <c:v>0.74403117091516968</c:v>
                </c:pt>
              </c:numCache>
            </c:numRef>
          </c:val>
          <c:extLst>
            <c:ext xmlns:c16="http://schemas.microsoft.com/office/drawing/2014/chart" uri="{C3380CC4-5D6E-409C-BE32-E72D297353CC}">
              <c16:uniqueId val="{00000004-55A1-422F-88A5-DA5EC69E1B07}"/>
            </c:ext>
          </c:extLst>
        </c:ser>
        <c:dLbls>
          <c:showLegendKey val="0"/>
          <c:showVal val="0"/>
          <c:showCatName val="0"/>
          <c:showSerName val="0"/>
          <c:showPercent val="0"/>
          <c:showBubbleSize val="0"/>
        </c:dLbls>
        <c:gapWidth val="150"/>
        <c:axId val="261663360"/>
        <c:axId val="261677440"/>
      </c:barChart>
      <c:lineChart>
        <c:grouping val="standard"/>
        <c:varyColors val="0"/>
        <c:ser>
          <c:idx val="4"/>
          <c:order val="5"/>
          <c:tx>
            <c:strRef>
              <c:f>'Jurisdiction by industry'!$H$320</c:f>
              <c:strCache>
                <c:ptCount val="1"/>
                <c:pt idx="0">
                  <c:v>2021-22 Aus av</c:v>
                </c:pt>
              </c:strCache>
            </c:strRef>
          </c:tx>
          <c:spPr>
            <a:ln>
              <a:solidFill>
                <a:srgbClr val="C10A27"/>
              </a:solidFill>
            </a:ln>
          </c:spPr>
          <c:marker>
            <c:symbol val="none"/>
          </c:marker>
          <c:cat>
            <c:strRef>
              <c:f>'Jurisdiction by industry'!$B$322:$B$332</c:f>
              <c:strCache>
                <c:ptCount val="11"/>
                <c:pt idx="0">
                  <c:v>ACT Private</c:v>
                </c:pt>
                <c:pt idx="1">
                  <c:v>Tas</c:v>
                </c:pt>
                <c:pt idx="2">
                  <c:v>SA</c:v>
                </c:pt>
                <c:pt idx="3">
                  <c:v>NT</c:v>
                </c:pt>
                <c:pt idx="4">
                  <c:v>WA</c:v>
                </c:pt>
                <c:pt idx="5">
                  <c:v>NSW</c:v>
                </c:pt>
                <c:pt idx="6">
                  <c:v>Vic</c:v>
                </c:pt>
                <c:pt idx="7">
                  <c:v>Qld</c:v>
                </c:pt>
                <c:pt idx="8">
                  <c:v>Aus Gov</c:v>
                </c:pt>
                <c:pt idx="9">
                  <c:v>Aus Av</c:v>
                </c:pt>
                <c:pt idx="10">
                  <c:v>NZ</c:v>
                </c:pt>
              </c:strCache>
            </c:strRef>
          </c:cat>
          <c:val>
            <c:numRef>
              <c:f>'Jurisdiction by industry'!$H$358:$H$368</c:f>
              <c:numCache>
                <c:formatCode>0.00</c:formatCode>
                <c:ptCount val="11"/>
                <c:pt idx="0">
                  <c:v>1.5578718881754523</c:v>
                </c:pt>
                <c:pt idx="1">
                  <c:v>1.5578718881754523</c:v>
                </c:pt>
                <c:pt idx="2">
                  <c:v>1.5578718881754523</c:v>
                </c:pt>
                <c:pt idx="3">
                  <c:v>1.5578718881754523</c:v>
                </c:pt>
                <c:pt idx="4">
                  <c:v>1.5578718881754523</c:v>
                </c:pt>
                <c:pt idx="5">
                  <c:v>1.5578718881754523</c:v>
                </c:pt>
                <c:pt idx="6">
                  <c:v>1.5578718881754523</c:v>
                </c:pt>
                <c:pt idx="7">
                  <c:v>1.5578718881754523</c:v>
                </c:pt>
                <c:pt idx="8">
                  <c:v>1.5578718881754523</c:v>
                </c:pt>
              </c:numCache>
            </c:numRef>
          </c:val>
          <c:smooth val="0"/>
          <c:extLst>
            <c:ext xmlns:c16="http://schemas.microsoft.com/office/drawing/2014/chart" uri="{C3380CC4-5D6E-409C-BE32-E72D297353CC}">
              <c16:uniqueId val="{00000005-55A1-422F-88A5-DA5EC69E1B07}"/>
            </c:ext>
          </c:extLst>
        </c:ser>
        <c:dLbls>
          <c:showLegendKey val="0"/>
          <c:showVal val="0"/>
          <c:showCatName val="0"/>
          <c:showSerName val="0"/>
          <c:showPercent val="0"/>
          <c:showBubbleSize val="0"/>
        </c:dLbls>
        <c:marker val="1"/>
        <c:smooth val="0"/>
        <c:axId val="261663360"/>
        <c:axId val="261677440"/>
      </c:lineChart>
      <c:catAx>
        <c:axId val="261663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77440"/>
        <c:crosses val="autoZero"/>
        <c:auto val="1"/>
        <c:lblAlgn val="ctr"/>
        <c:lblOffset val="100"/>
        <c:tickMarkSkip val="1"/>
        <c:noMultiLvlLbl val="0"/>
      </c:catAx>
      <c:valAx>
        <c:axId val="261677440"/>
        <c:scaling>
          <c:orientation val="minMax"/>
          <c:max val="2.5"/>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25534355162E-2"/>
              <c:y val="0.2189129371389132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63360"/>
        <c:crosses val="autoZero"/>
        <c:crossBetween val="between"/>
        <c:majorUnit val="0.5"/>
        <c:minorUnit val="0.5"/>
      </c:valAx>
      <c:dTable>
        <c:showHorzBorder val="0"/>
        <c:showVertBorder val="0"/>
        <c:showOutline val="0"/>
        <c:showKeys val="1"/>
        <c:txPr>
          <a:bodyPr/>
          <a:lstStyle/>
          <a:p>
            <a:pPr rtl="0">
              <a:defRPr sz="800"/>
            </a:pPr>
            <a:endParaRPr lang="en-US"/>
          </a:p>
        </c:txPr>
      </c:dTable>
      <c:spPr>
        <a:noFill/>
        <a:ln w="952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40894488188974"/>
          <c:y val="4.1549319733046895E-2"/>
          <c:w val="0.78547092370307103"/>
          <c:h val="0.55460645030031042"/>
        </c:manualLayout>
      </c:layout>
      <c:barChart>
        <c:barDir val="col"/>
        <c:grouping val="clustered"/>
        <c:varyColors val="0"/>
        <c:ser>
          <c:idx val="6"/>
          <c:order val="0"/>
          <c:tx>
            <c:strRef>
              <c:f>'Jurisdiction by industry'!$C$240</c:f>
              <c:strCache>
                <c:ptCount val="1"/>
                <c:pt idx="0">
                  <c:v>2017-18</c:v>
                </c:pt>
              </c:strCache>
            </c:strRef>
          </c:tx>
          <c:spPr>
            <a:solidFill>
              <a:srgbClr val="D9D9D9"/>
            </a:solidFill>
            <a:ln w="6350">
              <a:solidFill>
                <a:sysClr val="windowText" lastClr="000000"/>
              </a:solidFill>
            </a:ln>
          </c:spPr>
          <c:invertIfNegative val="0"/>
          <c:cat>
            <c:strRef>
              <c:f>'Jurisdiction by industry'!$B$376:$B$386</c:f>
              <c:strCache>
                <c:ptCount val="11"/>
                <c:pt idx="0">
                  <c:v>Aus Gov</c:v>
                </c:pt>
                <c:pt idx="1">
                  <c:v>NT</c:v>
                </c:pt>
                <c:pt idx="2">
                  <c:v>WA</c:v>
                </c:pt>
                <c:pt idx="3">
                  <c:v>ACT Private</c:v>
                </c:pt>
                <c:pt idx="4">
                  <c:v>SA</c:v>
                </c:pt>
                <c:pt idx="5">
                  <c:v>Tas</c:v>
                </c:pt>
                <c:pt idx="6">
                  <c:v>NSW</c:v>
                </c:pt>
                <c:pt idx="7">
                  <c:v>Vic</c:v>
                </c:pt>
                <c:pt idx="8">
                  <c:v>Qld</c:v>
                </c:pt>
                <c:pt idx="9">
                  <c:v>Aus Av</c:v>
                </c:pt>
                <c:pt idx="10">
                  <c:v>NZ</c:v>
                </c:pt>
              </c:strCache>
            </c:strRef>
          </c:cat>
          <c:val>
            <c:numRef>
              <c:f>'Jurisdiction by industry'!$C$376:$C$386</c:f>
              <c:numCache>
                <c:formatCode>0.00</c:formatCode>
                <c:ptCount val="11"/>
                <c:pt idx="0">
                  <c:v>2.1554952637885663</c:v>
                </c:pt>
                <c:pt idx="1">
                  <c:v>1.7919311715027</c:v>
                </c:pt>
                <c:pt idx="2">
                  <c:v>1.2990550389454061</c:v>
                </c:pt>
                <c:pt idx="3">
                  <c:v>1.3426037465129494</c:v>
                </c:pt>
                <c:pt idx="4">
                  <c:v>1.8066253925357065</c:v>
                </c:pt>
                <c:pt idx="5">
                  <c:v>1.5723497403786333</c:v>
                </c:pt>
                <c:pt idx="6">
                  <c:v>1.2660502390163868</c:v>
                </c:pt>
                <c:pt idx="7">
                  <c:v>1.4006280212158431</c:v>
                </c:pt>
                <c:pt idx="8">
                  <c:v>0.93508156250595142</c:v>
                </c:pt>
                <c:pt idx="9">
                  <c:v>1.277506687601732</c:v>
                </c:pt>
                <c:pt idx="10">
                  <c:v>0.56340942855718801</c:v>
                </c:pt>
              </c:numCache>
            </c:numRef>
          </c:val>
          <c:extLst>
            <c:ext xmlns:c16="http://schemas.microsoft.com/office/drawing/2014/chart" uri="{C3380CC4-5D6E-409C-BE32-E72D297353CC}">
              <c16:uniqueId val="{00000000-A777-4991-8EDF-E5AAE7EE6D30}"/>
            </c:ext>
          </c:extLst>
        </c:ser>
        <c:ser>
          <c:idx val="0"/>
          <c:order val="1"/>
          <c:tx>
            <c:strRef>
              <c:f>'Jurisdiction by industry'!$D$240</c:f>
              <c:strCache>
                <c:ptCount val="1"/>
                <c:pt idx="0">
                  <c:v>2018-19</c:v>
                </c:pt>
              </c:strCache>
            </c:strRef>
          </c:tx>
          <c:spPr>
            <a:solidFill>
              <a:srgbClr val="A6A6A6"/>
            </a:solidFill>
            <a:ln w="6350">
              <a:solidFill>
                <a:sysClr val="windowText" lastClr="000000"/>
              </a:solidFill>
            </a:ln>
          </c:spPr>
          <c:invertIfNegative val="0"/>
          <c:cat>
            <c:strRef>
              <c:f>'Jurisdiction by industry'!$B$376:$B$386</c:f>
              <c:strCache>
                <c:ptCount val="11"/>
                <c:pt idx="0">
                  <c:v>Aus Gov</c:v>
                </c:pt>
                <c:pt idx="1">
                  <c:v>NT</c:v>
                </c:pt>
                <c:pt idx="2">
                  <c:v>WA</c:v>
                </c:pt>
                <c:pt idx="3">
                  <c:v>ACT Private</c:v>
                </c:pt>
                <c:pt idx="4">
                  <c:v>SA</c:v>
                </c:pt>
                <c:pt idx="5">
                  <c:v>Tas</c:v>
                </c:pt>
                <c:pt idx="6">
                  <c:v>NSW</c:v>
                </c:pt>
                <c:pt idx="7">
                  <c:v>Vic</c:v>
                </c:pt>
                <c:pt idx="8">
                  <c:v>Qld</c:v>
                </c:pt>
                <c:pt idx="9">
                  <c:v>Aus Av</c:v>
                </c:pt>
                <c:pt idx="10">
                  <c:v>NZ</c:v>
                </c:pt>
              </c:strCache>
            </c:strRef>
          </c:cat>
          <c:val>
            <c:numRef>
              <c:f>'Jurisdiction by industry'!$D$376:$D$386</c:f>
              <c:numCache>
                <c:formatCode>0.00</c:formatCode>
                <c:ptCount val="11"/>
                <c:pt idx="0">
                  <c:v>1.8183300711519041</c:v>
                </c:pt>
                <c:pt idx="1">
                  <c:v>1.8958645768570974</c:v>
                </c:pt>
                <c:pt idx="2">
                  <c:v>1.3540924250232909</c:v>
                </c:pt>
                <c:pt idx="3">
                  <c:v>1.5513726893225734</c:v>
                </c:pt>
                <c:pt idx="4">
                  <c:v>1.6505980538521723</c:v>
                </c:pt>
                <c:pt idx="5">
                  <c:v>1.5365310933598944</c:v>
                </c:pt>
                <c:pt idx="6">
                  <c:v>1.4016063873417379</c:v>
                </c:pt>
                <c:pt idx="7">
                  <c:v>1.3422845866539368</c:v>
                </c:pt>
                <c:pt idx="8">
                  <c:v>0.94955793086518514</c:v>
                </c:pt>
                <c:pt idx="9">
                  <c:v>1.3020481333742153</c:v>
                </c:pt>
                <c:pt idx="10">
                  <c:v>0.53663918804160138</c:v>
                </c:pt>
              </c:numCache>
            </c:numRef>
          </c:val>
          <c:extLst>
            <c:ext xmlns:c16="http://schemas.microsoft.com/office/drawing/2014/chart" uri="{C3380CC4-5D6E-409C-BE32-E72D297353CC}">
              <c16:uniqueId val="{00000001-A777-4991-8EDF-E5AAE7EE6D30}"/>
            </c:ext>
          </c:extLst>
        </c:ser>
        <c:ser>
          <c:idx val="1"/>
          <c:order val="2"/>
          <c:tx>
            <c:strRef>
              <c:f>'Jurisdiction by industry'!$E$240</c:f>
              <c:strCache>
                <c:ptCount val="1"/>
                <c:pt idx="0">
                  <c:v>2019-20</c:v>
                </c:pt>
              </c:strCache>
            </c:strRef>
          </c:tx>
          <c:spPr>
            <a:solidFill>
              <a:srgbClr val="595A5C"/>
            </a:solidFill>
            <a:ln w="6350">
              <a:solidFill>
                <a:sysClr val="windowText" lastClr="000000"/>
              </a:solidFill>
            </a:ln>
          </c:spPr>
          <c:invertIfNegative val="0"/>
          <c:cat>
            <c:strRef>
              <c:f>'Jurisdiction by industry'!$B$376:$B$386</c:f>
              <c:strCache>
                <c:ptCount val="11"/>
                <c:pt idx="0">
                  <c:v>Aus Gov</c:v>
                </c:pt>
                <c:pt idx="1">
                  <c:v>NT</c:v>
                </c:pt>
                <c:pt idx="2">
                  <c:v>WA</c:v>
                </c:pt>
                <c:pt idx="3">
                  <c:v>ACT Private</c:v>
                </c:pt>
                <c:pt idx="4">
                  <c:v>SA</c:v>
                </c:pt>
                <c:pt idx="5">
                  <c:v>Tas</c:v>
                </c:pt>
                <c:pt idx="6">
                  <c:v>NSW</c:v>
                </c:pt>
                <c:pt idx="7">
                  <c:v>Vic</c:v>
                </c:pt>
                <c:pt idx="8">
                  <c:v>Qld</c:v>
                </c:pt>
                <c:pt idx="9">
                  <c:v>Aus Av</c:v>
                </c:pt>
                <c:pt idx="10">
                  <c:v>NZ</c:v>
                </c:pt>
              </c:strCache>
            </c:strRef>
          </c:cat>
          <c:val>
            <c:numRef>
              <c:f>'Jurisdiction by industry'!$E$376:$E$386</c:f>
              <c:numCache>
                <c:formatCode>0.00</c:formatCode>
                <c:ptCount val="11"/>
                <c:pt idx="0">
                  <c:v>1.6143913520674444</c:v>
                </c:pt>
                <c:pt idx="1">
                  <c:v>1.841716054679009</c:v>
                </c:pt>
                <c:pt idx="2">
                  <c:v>1.4273834421612477</c:v>
                </c:pt>
                <c:pt idx="3">
                  <c:v>1.5394041884391934</c:v>
                </c:pt>
                <c:pt idx="4">
                  <c:v>1.6279884910217928</c:v>
                </c:pt>
                <c:pt idx="5">
                  <c:v>1.6151920389387584</c:v>
                </c:pt>
                <c:pt idx="6">
                  <c:v>1.3975244580752799</c:v>
                </c:pt>
                <c:pt idx="7">
                  <c:v>1.3299335525049831</c:v>
                </c:pt>
                <c:pt idx="8">
                  <c:v>0.96256465656751056</c:v>
                </c:pt>
                <c:pt idx="9">
                  <c:v>1.3086655413828481</c:v>
                </c:pt>
                <c:pt idx="10">
                  <c:v>0.50033859295009453</c:v>
                </c:pt>
              </c:numCache>
            </c:numRef>
          </c:val>
          <c:extLst>
            <c:ext xmlns:c16="http://schemas.microsoft.com/office/drawing/2014/chart" uri="{C3380CC4-5D6E-409C-BE32-E72D297353CC}">
              <c16:uniqueId val="{00000002-A777-4991-8EDF-E5AAE7EE6D30}"/>
            </c:ext>
          </c:extLst>
        </c:ser>
        <c:ser>
          <c:idx val="2"/>
          <c:order val="3"/>
          <c:tx>
            <c:strRef>
              <c:f>'Jurisdiction by industry'!$F$240</c:f>
              <c:strCache>
                <c:ptCount val="1"/>
                <c:pt idx="0">
                  <c:v>2020-21</c:v>
                </c:pt>
              </c:strCache>
            </c:strRef>
          </c:tx>
          <c:spPr>
            <a:solidFill>
              <a:srgbClr val="3C3C3E"/>
            </a:solidFill>
            <a:ln w="6350">
              <a:solidFill>
                <a:sysClr val="windowText" lastClr="000000"/>
              </a:solidFill>
            </a:ln>
          </c:spPr>
          <c:invertIfNegative val="0"/>
          <c:cat>
            <c:strRef>
              <c:f>'Jurisdiction by industry'!$B$376:$B$386</c:f>
              <c:strCache>
                <c:ptCount val="11"/>
                <c:pt idx="0">
                  <c:v>Aus Gov</c:v>
                </c:pt>
                <c:pt idx="1">
                  <c:v>NT</c:v>
                </c:pt>
                <c:pt idx="2">
                  <c:v>WA</c:v>
                </c:pt>
                <c:pt idx="3">
                  <c:v>ACT Private</c:v>
                </c:pt>
                <c:pt idx="4">
                  <c:v>SA</c:v>
                </c:pt>
                <c:pt idx="5">
                  <c:v>Tas</c:v>
                </c:pt>
                <c:pt idx="6">
                  <c:v>NSW</c:v>
                </c:pt>
                <c:pt idx="7">
                  <c:v>Vic</c:v>
                </c:pt>
                <c:pt idx="8">
                  <c:v>Qld</c:v>
                </c:pt>
                <c:pt idx="9">
                  <c:v>Aus Av</c:v>
                </c:pt>
                <c:pt idx="10">
                  <c:v>NZ</c:v>
                </c:pt>
              </c:strCache>
            </c:strRef>
          </c:cat>
          <c:val>
            <c:numRef>
              <c:f>'Jurisdiction by industry'!$F$376:$F$386</c:f>
              <c:numCache>
                <c:formatCode>0.00</c:formatCode>
                <c:ptCount val="11"/>
                <c:pt idx="0">
                  <c:v>2.0087786819572724</c:v>
                </c:pt>
                <c:pt idx="1">
                  <c:v>1.7648438720347006</c:v>
                </c:pt>
                <c:pt idx="2">
                  <c:v>1.5663553649129569</c:v>
                </c:pt>
                <c:pt idx="3">
                  <c:v>1.7411498404220132</c:v>
                </c:pt>
                <c:pt idx="4">
                  <c:v>1.5826841830712479</c:v>
                </c:pt>
                <c:pt idx="5">
                  <c:v>1.6124279123359568</c:v>
                </c:pt>
                <c:pt idx="6">
                  <c:v>1.4295056720088617</c:v>
                </c:pt>
                <c:pt idx="7">
                  <c:v>1.2903359859314389</c:v>
                </c:pt>
                <c:pt idx="8">
                  <c:v>0.95909369212080087</c:v>
                </c:pt>
                <c:pt idx="9">
                  <c:v>1.3337507231525083</c:v>
                </c:pt>
                <c:pt idx="10">
                  <c:v>0.49389665881124811</c:v>
                </c:pt>
              </c:numCache>
            </c:numRef>
          </c:val>
          <c:extLst>
            <c:ext xmlns:c16="http://schemas.microsoft.com/office/drawing/2014/chart" uri="{C3380CC4-5D6E-409C-BE32-E72D297353CC}">
              <c16:uniqueId val="{00000003-A777-4991-8EDF-E5AAE7EE6D30}"/>
            </c:ext>
          </c:extLst>
        </c:ser>
        <c:ser>
          <c:idx val="3"/>
          <c:order val="4"/>
          <c:tx>
            <c:strRef>
              <c:f>'Jurisdiction by industry'!$G$240</c:f>
              <c:strCache>
                <c:ptCount val="1"/>
                <c:pt idx="0">
                  <c:v>2021-22</c:v>
                </c:pt>
              </c:strCache>
            </c:strRef>
          </c:tx>
          <c:spPr>
            <a:solidFill>
              <a:srgbClr val="C10A27"/>
            </a:solidFill>
            <a:ln w="6350">
              <a:solidFill>
                <a:sysClr val="windowText" lastClr="000000"/>
              </a:solidFill>
              <a:prstDash val="solid"/>
            </a:ln>
          </c:spPr>
          <c:invertIfNegative val="0"/>
          <c:cat>
            <c:strRef>
              <c:f>'Jurisdiction by industry'!$B$376:$B$386</c:f>
              <c:strCache>
                <c:ptCount val="11"/>
                <c:pt idx="0">
                  <c:v>Aus Gov</c:v>
                </c:pt>
                <c:pt idx="1">
                  <c:v>NT</c:v>
                </c:pt>
                <c:pt idx="2">
                  <c:v>WA</c:v>
                </c:pt>
                <c:pt idx="3">
                  <c:v>ACT Private</c:v>
                </c:pt>
                <c:pt idx="4">
                  <c:v>SA</c:v>
                </c:pt>
                <c:pt idx="5">
                  <c:v>Tas</c:v>
                </c:pt>
                <c:pt idx="6">
                  <c:v>NSW</c:v>
                </c:pt>
                <c:pt idx="7">
                  <c:v>Vic</c:v>
                </c:pt>
                <c:pt idx="8">
                  <c:v>Qld</c:v>
                </c:pt>
                <c:pt idx="9">
                  <c:v>Aus Av</c:v>
                </c:pt>
                <c:pt idx="10">
                  <c:v>NZ</c:v>
                </c:pt>
              </c:strCache>
            </c:strRef>
          </c:cat>
          <c:val>
            <c:numRef>
              <c:f>'Jurisdiction by industry'!$G$376:$G$386</c:f>
              <c:numCache>
                <c:formatCode>0.00</c:formatCode>
                <c:ptCount val="11"/>
                <c:pt idx="0">
                  <c:v>2.5500374986115539</c:v>
                </c:pt>
                <c:pt idx="1">
                  <c:v>1.8167277162418691</c:v>
                </c:pt>
                <c:pt idx="2">
                  <c:v>1.6675351033637507</c:v>
                </c:pt>
                <c:pt idx="3">
                  <c:v>1.6579175846876011</c:v>
                </c:pt>
                <c:pt idx="4">
                  <c:v>1.6209557752255548</c:v>
                </c:pt>
                <c:pt idx="5">
                  <c:v>1.6186964648701421</c:v>
                </c:pt>
                <c:pt idx="6">
                  <c:v>1.4532281272638954</c:v>
                </c:pt>
                <c:pt idx="7">
                  <c:v>1.3467426694229374</c:v>
                </c:pt>
                <c:pt idx="8">
                  <c:v>0.9498297781158509</c:v>
                </c:pt>
                <c:pt idx="9">
                  <c:v>1.3633877869369635</c:v>
                </c:pt>
                <c:pt idx="10">
                  <c:v>0.48943476033590438</c:v>
                </c:pt>
              </c:numCache>
            </c:numRef>
          </c:val>
          <c:extLst>
            <c:ext xmlns:c16="http://schemas.microsoft.com/office/drawing/2014/chart" uri="{C3380CC4-5D6E-409C-BE32-E72D297353CC}">
              <c16:uniqueId val="{00000004-A777-4991-8EDF-E5AAE7EE6D30}"/>
            </c:ext>
          </c:extLst>
        </c:ser>
        <c:dLbls>
          <c:showLegendKey val="0"/>
          <c:showVal val="0"/>
          <c:showCatName val="0"/>
          <c:showSerName val="0"/>
          <c:showPercent val="0"/>
          <c:showBubbleSize val="0"/>
        </c:dLbls>
        <c:gapWidth val="150"/>
        <c:axId val="261663360"/>
        <c:axId val="261677440"/>
      </c:barChart>
      <c:lineChart>
        <c:grouping val="standard"/>
        <c:varyColors val="0"/>
        <c:ser>
          <c:idx val="4"/>
          <c:order val="5"/>
          <c:tx>
            <c:strRef>
              <c:f>'Jurisdiction by industry'!$H$320</c:f>
              <c:strCache>
                <c:ptCount val="1"/>
                <c:pt idx="0">
                  <c:v>2021-22 Aus av</c:v>
                </c:pt>
              </c:strCache>
            </c:strRef>
          </c:tx>
          <c:spPr>
            <a:ln>
              <a:solidFill>
                <a:srgbClr val="C10A27"/>
              </a:solidFill>
            </a:ln>
          </c:spPr>
          <c:marker>
            <c:symbol val="none"/>
          </c:marker>
          <c:cat>
            <c:strRef>
              <c:f>'Jurisdiction by industry'!$B$322:$B$332</c:f>
              <c:strCache>
                <c:ptCount val="11"/>
                <c:pt idx="0">
                  <c:v>ACT Private</c:v>
                </c:pt>
                <c:pt idx="1">
                  <c:v>Tas</c:v>
                </c:pt>
                <c:pt idx="2">
                  <c:v>SA</c:v>
                </c:pt>
                <c:pt idx="3">
                  <c:v>NT</c:v>
                </c:pt>
                <c:pt idx="4">
                  <c:v>WA</c:v>
                </c:pt>
                <c:pt idx="5">
                  <c:v>NSW</c:v>
                </c:pt>
                <c:pt idx="6">
                  <c:v>Vic</c:v>
                </c:pt>
                <c:pt idx="7">
                  <c:v>Qld</c:v>
                </c:pt>
                <c:pt idx="8">
                  <c:v>Aus Gov</c:v>
                </c:pt>
                <c:pt idx="9">
                  <c:v>Aus Av</c:v>
                </c:pt>
                <c:pt idx="10">
                  <c:v>NZ</c:v>
                </c:pt>
              </c:strCache>
            </c:strRef>
          </c:cat>
          <c:val>
            <c:numRef>
              <c:f>'Jurisdiction by industry'!$H$376:$H$386</c:f>
              <c:numCache>
                <c:formatCode>0.00</c:formatCode>
                <c:ptCount val="11"/>
                <c:pt idx="0">
                  <c:v>1.3633877869369635</c:v>
                </c:pt>
                <c:pt idx="1">
                  <c:v>1.3633877869369635</c:v>
                </c:pt>
                <c:pt idx="2">
                  <c:v>1.3633877869369635</c:v>
                </c:pt>
                <c:pt idx="3">
                  <c:v>1.3633877869369635</c:v>
                </c:pt>
                <c:pt idx="4">
                  <c:v>1.3633877869369635</c:v>
                </c:pt>
                <c:pt idx="5">
                  <c:v>1.3633877869369635</c:v>
                </c:pt>
                <c:pt idx="6">
                  <c:v>1.3633877869369635</c:v>
                </c:pt>
                <c:pt idx="7">
                  <c:v>1.3633877869369635</c:v>
                </c:pt>
                <c:pt idx="8">
                  <c:v>1.3633877869369635</c:v>
                </c:pt>
              </c:numCache>
            </c:numRef>
          </c:val>
          <c:smooth val="0"/>
          <c:extLst>
            <c:ext xmlns:c16="http://schemas.microsoft.com/office/drawing/2014/chart" uri="{C3380CC4-5D6E-409C-BE32-E72D297353CC}">
              <c16:uniqueId val="{00000005-A777-4991-8EDF-E5AAE7EE6D30}"/>
            </c:ext>
          </c:extLst>
        </c:ser>
        <c:dLbls>
          <c:showLegendKey val="0"/>
          <c:showVal val="0"/>
          <c:showCatName val="0"/>
          <c:showSerName val="0"/>
          <c:showPercent val="0"/>
          <c:showBubbleSize val="0"/>
        </c:dLbls>
        <c:marker val="1"/>
        <c:smooth val="0"/>
        <c:axId val="261663360"/>
        <c:axId val="261677440"/>
      </c:lineChart>
      <c:catAx>
        <c:axId val="261663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77440"/>
        <c:crosses val="autoZero"/>
        <c:auto val="1"/>
        <c:lblAlgn val="ctr"/>
        <c:lblOffset val="100"/>
        <c:tickMarkSkip val="1"/>
        <c:noMultiLvlLbl val="0"/>
      </c:catAx>
      <c:valAx>
        <c:axId val="261677440"/>
        <c:scaling>
          <c:orientation val="minMax"/>
          <c:max val="3"/>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7.9319199907723528E-2"/>
              <c:y val="0.20242889205294731"/>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1663360"/>
        <c:crosses val="autoZero"/>
        <c:crossBetween val="between"/>
        <c:majorUnit val="0.5"/>
        <c:minorUnit val="0.5"/>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69582091174364"/>
          <c:y val="4.603555697466883E-2"/>
          <c:w val="0.76598957155151604"/>
          <c:h val="0.54497429221725535"/>
        </c:manualLayout>
      </c:layout>
      <c:barChart>
        <c:barDir val="col"/>
        <c:grouping val="clustered"/>
        <c:varyColors val="0"/>
        <c:ser>
          <c:idx val="6"/>
          <c:order val="0"/>
          <c:tx>
            <c:strRef>
              <c:f>'Jurisdiction by industry'!$C$5</c:f>
              <c:strCache>
                <c:ptCount val="1"/>
                <c:pt idx="0">
                  <c:v>2017-18</c:v>
                </c:pt>
              </c:strCache>
            </c:strRef>
          </c:tx>
          <c:spPr>
            <a:solidFill>
              <a:sysClr val="window" lastClr="FFFFFF">
                <a:lumMod val="85000"/>
                <a:alpha val="98000"/>
              </a:sysClr>
            </a:solidFill>
            <a:ln w="6350">
              <a:solidFill>
                <a:sysClr val="windowText" lastClr="000000"/>
              </a:solidFill>
            </a:ln>
          </c:spPr>
          <c:invertIfNegative val="0"/>
          <c:cat>
            <c:strRef>
              <c:f>'Jurisdiction by industry'!$A$6:$A$16</c:f>
              <c:strCache>
                <c:ptCount val="11"/>
                <c:pt idx="0">
                  <c:v>NT</c:v>
                </c:pt>
                <c:pt idx="1">
                  <c:v>WA</c:v>
                </c:pt>
                <c:pt idx="2">
                  <c:v>ACT Private</c:v>
                </c:pt>
                <c:pt idx="3">
                  <c:v>NSW</c:v>
                </c:pt>
                <c:pt idx="4">
                  <c:v>Tas</c:v>
                </c:pt>
                <c:pt idx="5">
                  <c:v>SA</c:v>
                </c:pt>
                <c:pt idx="6">
                  <c:v>Qld</c:v>
                </c:pt>
                <c:pt idx="7">
                  <c:v>Vic</c:v>
                </c:pt>
                <c:pt idx="8">
                  <c:v>Comcare</c:v>
                </c:pt>
                <c:pt idx="9">
                  <c:v>Aus Av</c:v>
                </c:pt>
                <c:pt idx="10">
                  <c:v>NZ</c:v>
                </c:pt>
              </c:strCache>
            </c:strRef>
          </c:cat>
          <c:val>
            <c:numRef>
              <c:f>'Jurisdiction by industry'!$C$6:$C$16</c:f>
              <c:numCache>
                <c:formatCode>0.00</c:formatCode>
                <c:ptCount val="11"/>
                <c:pt idx="0">
                  <c:v>5.4314095352487968</c:v>
                </c:pt>
                <c:pt idx="1">
                  <c:v>4.3746075249597265</c:v>
                </c:pt>
                <c:pt idx="2">
                  <c:v>5.7529919836551011</c:v>
                </c:pt>
                <c:pt idx="3">
                  <c:v>4.0989616220415659</c:v>
                </c:pt>
                <c:pt idx="4">
                  <c:v>3.802349282109124</c:v>
                </c:pt>
                <c:pt idx="5">
                  <c:v>3.372388872657385</c:v>
                </c:pt>
                <c:pt idx="6">
                  <c:v>2.7709406963489247</c:v>
                </c:pt>
                <c:pt idx="7">
                  <c:v>2.6783847255098472</c:v>
                </c:pt>
                <c:pt idx="8">
                  <c:v>0</c:v>
                </c:pt>
                <c:pt idx="9">
                  <c:v>3.4146348336447785</c:v>
                </c:pt>
                <c:pt idx="10">
                  <c:v>1.6829658543036023</c:v>
                </c:pt>
              </c:numCache>
            </c:numRef>
          </c:val>
          <c:extLst>
            <c:ext xmlns:c16="http://schemas.microsoft.com/office/drawing/2014/chart" uri="{C3380CC4-5D6E-409C-BE32-E72D297353CC}">
              <c16:uniqueId val="{00000000-5A11-4BE4-BBAA-9A04544DB0B7}"/>
            </c:ext>
          </c:extLst>
        </c:ser>
        <c:ser>
          <c:idx val="0"/>
          <c:order val="1"/>
          <c:tx>
            <c:strRef>
              <c:f>'Jurisdiction by industry'!$D$5</c:f>
              <c:strCache>
                <c:ptCount val="1"/>
                <c:pt idx="0">
                  <c:v>2018-19</c:v>
                </c:pt>
              </c:strCache>
            </c:strRef>
          </c:tx>
          <c:spPr>
            <a:solidFill>
              <a:sysClr val="window" lastClr="FFFFFF">
                <a:lumMod val="65000"/>
              </a:sysClr>
            </a:solidFill>
            <a:ln w="6350">
              <a:solidFill>
                <a:sysClr val="windowText" lastClr="000000"/>
              </a:solidFill>
            </a:ln>
          </c:spPr>
          <c:invertIfNegative val="0"/>
          <c:cat>
            <c:strRef>
              <c:f>'Jurisdiction by industry'!$A$6:$A$16</c:f>
              <c:strCache>
                <c:ptCount val="11"/>
                <c:pt idx="0">
                  <c:v>NT</c:v>
                </c:pt>
                <c:pt idx="1">
                  <c:v>WA</c:v>
                </c:pt>
                <c:pt idx="2">
                  <c:v>ACT Private</c:v>
                </c:pt>
                <c:pt idx="3">
                  <c:v>NSW</c:v>
                </c:pt>
                <c:pt idx="4">
                  <c:v>Tas</c:v>
                </c:pt>
                <c:pt idx="5">
                  <c:v>SA</c:v>
                </c:pt>
                <c:pt idx="6">
                  <c:v>Qld</c:v>
                </c:pt>
                <c:pt idx="7">
                  <c:v>Vic</c:v>
                </c:pt>
                <c:pt idx="8">
                  <c:v>Comcare</c:v>
                </c:pt>
                <c:pt idx="9">
                  <c:v>Aus Av</c:v>
                </c:pt>
                <c:pt idx="10">
                  <c:v>NZ</c:v>
                </c:pt>
              </c:strCache>
            </c:strRef>
          </c:cat>
          <c:val>
            <c:numRef>
              <c:f>'Jurisdiction by industry'!$D$6:$D$16</c:f>
              <c:numCache>
                <c:formatCode>0.00</c:formatCode>
                <c:ptCount val="11"/>
                <c:pt idx="0">
                  <c:v>6.2030200675635614</c:v>
                </c:pt>
                <c:pt idx="1">
                  <c:v>5.1559642408492135</c:v>
                </c:pt>
                <c:pt idx="2">
                  <c:v>5.9451720095639411</c:v>
                </c:pt>
                <c:pt idx="3">
                  <c:v>4.2250943944373267</c:v>
                </c:pt>
                <c:pt idx="4">
                  <c:v>3.6625919463689329</c:v>
                </c:pt>
                <c:pt idx="5">
                  <c:v>3.158459968709419</c:v>
                </c:pt>
                <c:pt idx="6">
                  <c:v>2.6162004461628707</c:v>
                </c:pt>
                <c:pt idx="7">
                  <c:v>2.6691824503494432</c:v>
                </c:pt>
                <c:pt idx="8">
                  <c:v>0.84098793801348992</c:v>
                </c:pt>
                <c:pt idx="9">
                  <c:v>3.4507332601395526</c:v>
                </c:pt>
                <c:pt idx="10">
                  <c:v>1.6711663072698217</c:v>
                </c:pt>
              </c:numCache>
            </c:numRef>
          </c:val>
          <c:extLst>
            <c:ext xmlns:c16="http://schemas.microsoft.com/office/drawing/2014/chart" uri="{C3380CC4-5D6E-409C-BE32-E72D297353CC}">
              <c16:uniqueId val="{00000001-5A11-4BE4-BBAA-9A04544DB0B7}"/>
            </c:ext>
          </c:extLst>
        </c:ser>
        <c:ser>
          <c:idx val="1"/>
          <c:order val="2"/>
          <c:tx>
            <c:strRef>
              <c:f>'Jurisdiction by industry'!$E$5</c:f>
              <c:strCache>
                <c:ptCount val="1"/>
                <c:pt idx="0">
                  <c:v>2019-20</c:v>
                </c:pt>
              </c:strCache>
            </c:strRef>
          </c:tx>
          <c:spPr>
            <a:solidFill>
              <a:srgbClr val="77787B">
                <a:lumMod val="75000"/>
              </a:srgbClr>
            </a:solidFill>
            <a:ln>
              <a:solidFill>
                <a:sysClr val="windowText" lastClr="000000"/>
              </a:solidFill>
            </a:ln>
          </c:spPr>
          <c:invertIfNegative val="0"/>
          <c:cat>
            <c:strRef>
              <c:f>'Jurisdiction by industry'!$A$6:$A$16</c:f>
              <c:strCache>
                <c:ptCount val="11"/>
                <c:pt idx="0">
                  <c:v>NT</c:v>
                </c:pt>
                <c:pt idx="1">
                  <c:v>WA</c:v>
                </c:pt>
                <c:pt idx="2">
                  <c:v>ACT Private</c:v>
                </c:pt>
                <c:pt idx="3">
                  <c:v>NSW</c:v>
                </c:pt>
                <c:pt idx="4">
                  <c:v>Tas</c:v>
                </c:pt>
                <c:pt idx="5">
                  <c:v>SA</c:v>
                </c:pt>
                <c:pt idx="6">
                  <c:v>Qld</c:v>
                </c:pt>
                <c:pt idx="7">
                  <c:v>Vic</c:v>
                </c:pt>
                <c:pt idx="8">
                  <c:v>Comcare</c:v>
                </c:pt>
                <c:pt idx="9">
                  <c:v>Aus Av</c:v>
                </c:pt>
                <c:pt idx="10">
                  <c:v>NZ</c:v>
                </c:pt>
              </c:strCache>
            </c:strRef>
          </c:cat>
          <c:val>
            <c:numRef>
              <c:f>'Jurisdiction by industry'!$E$6:$E$16</c:f>
              <c:numCache>
                <c:formatCode>0.00</c:formatCode>
                <c:ptCount val="11"/>
                <c:pt idx="0">
                  <c:v>6.610396517843002</c:v>
                </c:pt>
                <c:pt idx="1">
                  <c:v>5.6288441578650952</c:v>
                </c:pt>
                <c:pt idx="2">
                  <c:v>5.7272802056015086</c:v>
                </c:pt>
                <c:pt idx="3">
                  <c:v>4.482219674378463</c:v>
                </c:pt>
                <c:pt idx="4">
                  <c:v>3.517462688752611</c:v>
                </c:pt>
                <c:pt idx="5">
                  <c:v>2.9077714144637552</c:v>
                </c:pt>
                <c:pt idx="6">
                  <c:v>2.6130539430020261</c:v>
                </c:pt>
                <c:pt idx="7">
                  <c:v>2.7976886504726197</c:v>
                </c:pt>
                <c:pt idx="8">
                  <c:v>0.68720937159382567</c:v>
                </c:pt>
                <c:pt idx="9">
                  <c:v>3.5351866335556483</c:v>
                </c:pt>
                <c:pt idx="10">
                  <c:v>1.5931810721098381</c:v>
                </c:pt>
              </c:numCache>
            </c:numRef>
          </c:val>
          <c:extLst>
            <c:ext xmlns:c16="http://schemas.microsoft.com/office/drawing/2014/chart" uri="{C3380CC4-5D6E-409C-BE32-E72D297353CC}">
              <c16:uniqueId val="{00000002-5A11-4BE4-BBAA-9A04544DB0B7}"/>
            </c:ext>
          </c:extLst>
        </c:ser>
        <c:ser>
          <c:idx val="2"/>
          <c:order val="3"/>
          <c:tx>
            <c:strRef>
              <c:f>'Jurisdiction by industry'!$F$5</c:f>
              <c:strCache>
                <c:ptCount val="1"/>
                <c:pt idx="0">
                  <c:v>2020-21</c:v>
                </c:pt>
              </c:strCache>
            </c:strRef>
          </c:tx>
          <c:spPr>
            <a:solidFill>
              <a:srgbClr val="77787B">
                <a:lumMod val="50000"/>
              </a:srgbClr>
            </a:solidFill>
            <a:ln>
              <a:solidFill>
                <a:srgbClr val="000000"/>
              </a:solidFill>
            </a:ln>
          </c:spPr>
          <c:invertIfNegative val="0"/>
          <c:cat>
            <c:strRef>
              <c:f>'Jurisdiction by industry'!$A$6:$A$16</c:f>
              <c:strCache>
                <c:ptCount val="11"/>
                <c:pt idx="0">
                  <c:v>NT</c:v>
                </c:pt>
                <c:pt idx="1">
                  <c:v>WA</c:v>
                </c:pt>
                <c:pt idx="2">
                  <c:v>ACT Private</c:v>
                </c:pt>
                <c:pt idx="3">
                  <c:v>NSW</c:v>
                </c:pt>
                <c:pt idx="4">
                  <c:v>Tas</c:v>
                </c:pt>
                <c:pt idx="5">
                  <c:v>SA</c:v>
                </c:pt>
                <c:pt idx="6">
                  <c:v>Qld</c:v>
                </c:pt>
                <c:pt idx="7">
                  <c:v>Vic</c:v>
                </c:pt>
                <c:pt idx="8">
                  <c:v>Comcare</c:v>
                </c:pt>
                <c:pt idx="9">
                  <c:v>Aus Av</c:v>
                </c:pt>
                <c:pt idx="10">
                  <c:v>NZ</c:v>
                </c:pt>
              </c:strCache>
            </c:strRef>
          </c:cat>
          <c:val>
            <c:numRef>
              <c:f>'Jurisdiction by industry'!$F$6:$F$16</c:f>
              <c:numCache>
                <c:formatCode>0.00</c:formatCode>
                <c:ptCount val="11"/>
                <c:pt idx="0">
                  <c:v>6.998486127308218</c:v>
                </c:pt>
                <c:pt idx="1">
                  <c:v>6.0255396524121911</c:v>
                </c:pt>
                <c:pt idx="2">
                  <c:v>5.8924547612919342</c:v>
                </c:pt>
                <c:pt idx="3">
                  <c:v>4.5484191450297669</c:v>
                </c:pt>
                <c:pt idx="4">
                  <c:v>3.6500672840561306</c:v>
                </c:pt>
                <c:pt idx="5">
                  <c:v>3.038967416558684</c:v>
                </c:pt>
                <c:pt idx="6">
                  <c:v>2.6124010226221133</c:v>
                </c:pt>
                <c:pt idx="7">
                  <c:v>2.697108819541147</c:v>
                </c:pt>
                <c:pt idx="8">
                  <c:v>0.59016032357538406</c:v>
                </c:pt>
                <c:pt idx="9">
                  <c:v>3.5890261798453302</c:v>
                </c:pt>
                <c:pt idx="10">
                  <c:v>1.5639542102296393</c:v>
                </c:pt>
              </c:numCache>
            </c:numRef>
          </c:val>
          <c:extLst>
            <c:ext xmlns:c16="http://schemas.microsoft.com/office/drawing/2014/chart" uri="{C3380CC4-5D6E-409C-BE32-E72D297353CC}">
              <c16:uniqueId val="{00000003-5A11-4BE4-BBAA-9A04544DB0B7}"/>
            </c:ext>
          </c:extLst>
        </c:ser>
        <c:ser>
          <c:idx val="3"/>
          <c:order val="4"/>
          <c:tx>
            <c:strRef>
              <c:f>'Jurisdiction by industry'!$G$5</c:f>
              <c:strCache>
                <c:ptCount val="1"/>
                <c:pt idx="0">
                  <c:v>2021-22</c:v>
                </c:pt>
              </c:strCache>
            </c:strRef>
          </c:tx>
          <c:spPr>
            <a:solidFill>
              <a:srgbClr val="C10A27"/>
            </a:solidFill>
            <a:ln>
              <a:solidFill>
                <a:srgbClr val="000000"/>
              </a:solidFill>
            </a:ln>
          </c:spPr>
          <c:invertIfNegative val="0"/>
          <c:cat>
            <c:strRef>
              <c:f>'Jurisdiction by industry'!$A$6:$A$16</c:f>
              <c:strCache>
                <c:ptCount val="11"/>
                <c:pt idx="0">
                  <c:v>NT</c:v>
                </c:pt>
                <c:pt idx="1">
                  <c:v>WA</c:v>
                </c:pt>
                <c:pt idx="2">
                  <c:v>ACT Private</c:v>
                </c:pt>
                <c:pt idx="3">
                  <c:v>NSW</c:v>
                </c:pt>
                <c:pt idx="4">
                  <c:v>Tas</c:v>
                </c:pt>
                <c:pt idx="5">
                  <c:v>SA</c:v>
                </c:pt>
                <c:pt idx="6">
                  <c:v>Qld</c:v>
                </c:pt>
                <c:pt idx="7">
                  <c:v>Vic</c:v>
                </c:pt>
                <c:pt idx="8">
                  <c:v>Comcare</c:v>
                </c:pt>
                <c:pt idx="9">
                  <c:v>Aus Av</c:v>
                </c:pt>
                <c:pt idx="10">
                  <c:v>NZ</c:v>
                </c:pt>
              </c:strCache>
            </c:strRef>
          </c:cat>
          <c:val>
            <c:numRef>
              <c:f>'Jurisdiction by industry'!$G$6:$G$16</c:f>
              <c:numCache>
                <c:formatCode>0.00</c:formatCode>
                <c:ptCount val="11"/>
                <c:pt idx="0">
                  <c:v>7.6374351021342015</c:v>
                </c:pt>
                <c:pt idx="1">
                  <c:v>6.160506035230525</c:v>
                </c:pt>
                <c:pt idx="2">
                  <c:v>6.1237521602023328</c:v>
                </c:pt>
                <c:pt idx="3">
                  <c:v>4.5932852575420258</c:v>
                </c:pt>
                <c:pt idx="4">
                  <c:v>3.8293491583474157</c:v>
                </c:pt>
                <c:pt idx="5">
                  <c:v>3.0391447857500129</c:v>
                </c:pt>
                <c:pt idx="6">
                  <c:v>2.658896383870859</c:v>
                </c:pt>
                <c:pt idx="7">
                  <c:v>2.5161592113345774</c:v>
                </c:pt>
                <c:pt idx="8">
                  <c:v>0.51780786297932002</c:v>
                </c:pt>
                <c:pt idx="9">
                  <c:v>3.591247544013735</c:v>
                </c:pt>
                <c:pt idx="10">
                  <c:v>1.5359066390152487</c:v>
                </c:pt>
              </c:numCache>
            </c:numRef>
          </c:val>
          <c:extLst>
            <c:ext xmlns:c16="http://schemas.microsoft.com/office/drawing/2014/chart" uri="{C3380CC4-5D6E-409C-BE32-E72D297353CC}">
              <c16:uniqueId val="{00000004-5A11-4BE4-BBAA-9A04544DB0B7}"/>
            </c:ext>
          </c:extLst>
        </c:ser>
        <c:dLbls>
          <c:showLegendKey val="0"/>
          <c:showVal val="0"/>
          <c:showCatName val="0"/>
          <c:showSerName val="0"/>
          <c:showPercent val="0"/>
          <c:showBubbleSize val="0"/>
        </c:dLbls>
        <c:gapWidth val="150"/>
        <c:axId val="219263744"/>
        <c:axId val="219265280"/>
      </c:barChart>
      <c:lineChart>
        <c:grouping val="standard"/>
        <c:varyColors val="0"/>
        <c:ser>
          <c:idx val="4"/>
          <c:order val="5"/>
          <c:tx>
            <c:strRef>
              <c:f>'Jurisdiction by industry'!$H$4</c:f>
              <c:strCache>
                <c:ptCount val="1"/>
                <c:pt idx="0">
                  <c:v>2021-22 Aus av</c:v>
                </c:pt>
              </c:strCache>
            </c:strRef>
          </c:tx>
          <c:spPr>
            <a:ln>
              <a:solidFill>
                <a:srgbClr val="C10A27"/>
              </a:solidFill>
            </a:ln>
          </c:spPr>
          <c:marker>
            <c:symbol val="none"/>
          </c:marker>
          <c:cat>
            <c:strRef>
              <c:f>'Jurisdiction by industry'!$B$6:$B$16</c:f>
              <c:strCache>
                <c:ptCount val="11"/>
                <c:pt idx="0">
                  <c:v>NT</c:v>
                </c:pt>
                <c:pt idx="1">
                  <c:v>WA</c:v>
                </c:pt>
                <c:pt idx="2">
                  <c:v>ACT Private</c:v>
                </c:pt>
                <c:pt idx="3">
                  <c:v>NSW</c:v>
                </c:pt>
                <c:pt idx="4">
                  <c:v>Tas</c:v>
                </c:pt>
                <c:pt idx="5">
                  <c:v>SA</c:v>
                </c:pt>
                <c:pt idx="6">
                  <c:v>Qld</c:v>
                </c:pt>
                <c:pt idx="7">
                  <c:v>Vic</c:v>
                </c:pt>
                <c:pt idx="8">
                  <c:v>Aus Gov</c:v>
                </c:pt>
                <c:pt idx="9">
                  <c:v>Aus Av</c:v>
                </c:pt>
                <c:pt idx="10">
                  <c:v>NZ</c:v>
                </c:pt>
              </c:strCache>
            </c:strRef>
          </c:cat>
          <c:val>
            <c:numRef>
              <c:f>'Jurisdiction by industry'!$H$6:$H$16</c:f>
              <c:numCache>
                <c:formatCode>0.00</c:formatCode>
                <c:ptCount val="11"/>
                <c:pt idx="0">
                  <c:v>3.591247544013735</c:v>
                </c:pt>
                <c:pt idx="1">
                  <c:v>3.591247544013735</c:v>
                </c:pt>
                <c:pt idx="2">
                  <c:v>3.591247544013735</c:v>
                </c:pt>
                <c:pt idx="3">
                  <c:v>3.591247544013735</c:v>
                </c:pt>
                <c:pt idx="4">
                  <c:v>3.591247544013735</c:v>
                </c:pt>
                <c:pt idx="5">
                  <c:v>3.591247544013735</c:v>
                </c:pt>
                <c:pt idx="6">
                  <c:v>3.591247544013735</c:v>
                </c:pt>
                <c:pt idx="7">
                  <c:v>3.591247544013735</c:v>
                </c:pt>
                <c:pt idx="8">
                  <c:v>3.591247544013735</c:v>
                </c:pt>
              </c:numCache>
            </c:numRef>
          </c:val>
          <c:smooth val="0"/>
          <c:extLst>
            <c:ext xmlns:c16="http://schemas.microsoft.com/office/drawing/2014/chart" uri="{C3380CC4-5D6E-409C-BE32-E72D297353CC}">
              <c16:uniqueId val="{00000005-5A11-4BE4-BBAA-9A04544DB0B7}"/>
            </c:ext>
          </c:extLst>
        </c:ser>
        <c:dLbls>
          <c:showLegendKey val="0"/>
          <c:showVal val="0"/>
          <c:showCatName val="0"/>
          <c:showSerName val="0"/>
          <c:showPercent val="0"/>
          <c:showBubbleSize val="0"/>
        </c:dLbls>
        <c:marker val="1"/>
        <c:smooth val="0"/>
        <c:axId val="219263744"/>
        <c:axId val="219265280"/>
      </c:lineChart>
      <c:catAx>
        <c:axId val="2192637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265280"/>
        <c:crosses val="autoZero"/>
        <c:auto val="1"/>
        <c:lblAlgn val="ctr"/>
        <c:lblOffset val="100"/>
        <c:tickMarkSkip val="1"/>
        <c:noMultiLvlLbl val="0"/>
      </c:catAx>
      <c:valAx>
        <c:axId val="219265280"/>
        <c:scaling>
          <c:orientation val="minMax"/>
          <c:max val="8"/>
          <c:min val="0"/>
        </c:scaling>
        <c:delete val="0"/>
        <c:axPos val="l"/>
        <c:majorGridlines>
          <c:spPr>
            <a:ln w="3175">
              <a:solidFill>
                <a:srgbClr val="969696"/>
              </a:solidFill>
              <a:prstDash val="solid"/>
            </a:ln>
          </c:spPr>
        </c:majorGridlines>
        <c:min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9.7843177762472949E-2"/>
              <c:y val="0.2182869119549376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9263744"/>
        <c:crosses val="autoZero"/>
        <c:crossBetween val="between"/>
        <c:majorUnit val="1"/>
        <c:minorUnit val="1"/>
      </c:valAx>
      <c:dTable>
        <c:showHorzBorder val="0"/>
        <c:showVertBorder val="0"/>
        <c:showOutline val="0"/>
        <c:showKeys val="1"/>
        <c:txPr>
          <a:bodyPr/>
          <a:lstStyle/>
          <a:p>
            <a:pPr rtl="0">
              <a:defRPr sz="800"/>
            </a:pPr>
            <a:endParaRPr lang="en-US"/>
          </a:p>
        </c:txPr>
      </c:dTable>
      <c:spPr>
        <a:noFill/>
        <a:ln w="3175">
          <a:solidFill>
            <a:srgbClr val="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72722182265869"/>
          <c:y val="4.1138045249217006E-2"/>
          <c:w val="0.78194410794804492"/>
          <c:h val="0.55418595255140735"/>
        </c:manualLayout>
      </c:layout>
      <c:barChart>
        <c:barDir val="col"/>
        <c:grouping val="clustered"/>
        <c:varyColors val="0"/>
        <c:ser>
          <c:idx val="6"/>
          <c:order val="0"/>
          <c:tx>
            <c:strRef>
              <c:f>'Jurisdiction by industry'!$C$26</c:f>
              <c:strCache>
                <c:ptCount val="1"/>
                <c:pt idx="0">
                  <c:v>2017-18</c:v>
                </c:pt>
              </c:strCache>
            </c:strRef>
          </c:tx>
          <c:spPr>
            <a:solidFill>
              <a:srgbClr val="D9D9D9"/>
            </a:solidFill>
            <a:ln w="6350">
              <a:solidFill>
                <a:sysClr val="windowText" lastClr="000000"/>
              </a:solidFill>
            </a:ln>
          </c:spPr>
          <c:invertIfNegative val="0"/>
          <c:cat>
            <c:strRef>
              <c:f>('Jurisdiction by industry'!$A$27:$A$34,'Jurisdiction by industry'!$A$36:$A$37)</c:f>
              <c:strCache>
                <c:ptCount val="10"/>
                <c:pt idx="0">
                  <c:v>ACT Private</c:v>
                </c:pt>
                <c:pt idx="1">
                  <c:v>NSW</c:v>
                </c:pt>
                <c:pt idx="2">
                  <c:v>Vic</c:v>
                </c:pt>
                <c:pt idx="3">
                  <c:v>Tas</c:v>
                </c:pt>
                <c:pt idx="4">
                  <c:v>SA</c:v>
                </c:pt>
                <c:pt idx="5">
                  <c:v>NT</c:v>
                </c:pt>
                <c:pt idx="6">
                  <c:v>Qld</c:v>
                </c:pt>
                <c:pt idx="7">
                  <c:v>WA</c:v>
                </c:pt>
                <c:pt idx="8">
                  <c:v>Aus Av</c:v>
                </c:pt>
                <c:pt idx="9">
                  <c:v>NZ</c:v>
                </c:pt>
              </c:strCache>
            </c:strRef>
          </c:cat>
          <c:val>
            <c:numRef>
              <c:f>('Jurisdiction by industry'!$C$27:$C$34,'Jurisdiction by industry'!$C$36:$C$37)</c:f>
              <c:numCache>
                <c:formatCode>0.00</c:formatCode>
                <c:ptCount val="10"/>
                <c:pt idx="0">
                  <c:v>2.9560931463131364</c:v>
                </c:pt>
                <c:pt idx="1">
                  <c:v>3.2726538803611684</c:v>
                </c:pt>
                <c:pt idx="2">
                  <c:v>1.320515655131244</c:v>
                </c:pt>
                <c:pt idx="3">
                  <c:v>1.7495594483396635</c:v>
                </c:pt>
                <c:pt idx="4">
                  <c:v>1.8739304924727955</c:v>
                </c:pt>
                <c:pt idx="5">
                  <c:v>1.0241436593667821</c:v>
                </c:pt>
                <c:pt idx="6">
                  <c:v>1.2536918681832609</c:v>
                </c:pt>
                <c:pt idx="7">
                  <c:v>0.89945981696829824</c:v>
                </c:pt>
                <c:pt idx="8">
                  <c:v>1.410724052947687</c:v>
                </c:pt>
                <c:pt idx="9">
                  <c:v>0.66905364569490644</c:v>
                </c:pt>
              </c:numCache>
            </c:numRef>
          </c:val>
          <c:extLst>
            <c:ext xmlns:c16="http://schemas.microsoft.com/office/drawing/2014/chart" uri="{C3380CC4-5D6E-409C-BE32-E72D297353CC}">
              <c16:uniqueId val="{00000000-2D4D-4140-9AF1-92C5776D2417}"/>
            </c:ext>
          </c:extLst>
        </c:ser>
        <c:ser>
          <c:idx val="0"/>
          <c:order val="1"/>
          <c:tx>
            <c:strRef>
              <c:f>'Jurisdiction by industry'!$D$26</c:f>
              <c:strCache>
                <c:ptCount val="1"/>
                <c:pt idx="0">
                  <c:v>2018-19</c:v>
                </c:pt>
              </c:strCache>
            </c:strRef>
          </c:tx>
          <c:spPr>
            <a:solidFill>
              <a:srgbClr val="A6A6A6"/>
            </a:solidFill>
            <a:ln w="6350">
              <a:solidFill>
                <a:sysClr val="windowText" lastClr="000000"/>
              </a:solidFill>
            </a:ln>
          </c:spPr>
          <c:invertIfNegative val="0"/>
          <c:cat>
            <c:strRef>
              <c:f>('Jurisdiction by industry'!$A$27:$A$34,'Jurisdiction by industry'!$A$36:$A$37)</c:f>
              <c:strCache>
                <c:ptCount val="10"/>
                <c:pt idx="0">
                  <c:v>ACT Private</c:v>
                </c:pt>
                <c:pt idx="1">
                  <c:v>NSW</c:v>
                </c:pt>
                <c:pt idx="2">
                  <c:v>Vic</c:v>
                </c:pt>
                <c:pt idx="3">
                  <c:v>Tas</c:v>
                </c:pt>
                <c:pt idx="4">
                  <c:v>SA</c:v>
                </c:pt>
                <c:pt idx="5">
                  <c:v>NT</c:v>
                </c:pt>
                <c:pt idx="6">
                  <c:v>Qld</c:v>
                </c:pt>
                <c:pt idx="7">
                  <c:v>WA</c:v>
                </c:pt>
                <c:pt idx="8">
                  <c:v>Aus Av</c:v>
                </c:pt>
                <c:pt idx="9">
                  <c:v>NZ</c:v>
                </c:pt>
              </c:strCache>
            </c:strRef>
          </c:cat>
          <c:val>
            <c:numRef>
              <c:f>('Jurisdiction by industry'!$D$27:$D$34,'Jurisdiction by industry'!$D$36:$D$37)</c:f>
              <c:numCache>
                <c:formatCode>0.00</c:formatCode>
                <c:ptCount val="10"/>
                <c:pt idx="0">
                  <c:v>3.3734181193367228</c:v>
                </c:pt>
                <c:pt idx="1">
                  <c:v>3.2339833171754986</c:v>
                </c:pt>
                <c:pt idx="2">
                  <c:v>1.8561031185658095</c:v>
                </c:pt>
                <c:pt idx="3">
                  <c:v>1.5392071428476788</c:v>
                </c:pt>
                <c:pt idx="4">
                  <c:v>1.7235180175778297</c:v>
                </c:pt>
                <c:pt idx="5">
                  <c:v>1.2080282505987183</c:v>
                </c:pt>
                <c:pt idx="6">
                  <c:v>1.2306301260866832</c:v>
                </c:pt>
                <c:pt idx="7">
                  <c:v>0.95398302131546531</c:v>
                </c:pt>
                <c:pt idx="8">
                  <c:v>1.4610748278513752</c:v>
                </c:pt>
                <c:pt idx="9">
                  <c:v>0.64225574299087185</c:v>
                </c:pt>
              </c:numCache>
            </c:numRef>
          </c:val>
          <c:extLst>
            <c:ext xmlns:c16="http://schemas.microsoft.com/office/drawing/2014/chart" uri="{C3380CC4-5D6E-409C-BE32-E72D297353CC}">
              <c16:uniqueId val="{00000001-2D4D-4140-9AF1-92C5776D2417}"/>
            </c:ext>
          </c:extLst>
        </c:ser>
        <c:ser>
          <c:idx val="1"/>
          <c:order val="2"/>
          <c:tx>
            <c:strRef>
              <c:f>'Jurisdiction by industry'!$E$26</c:f>
              <c:strCache>
                <c:ptCount val="1"/>
                <c:pt idx="0">
                  <c:v>2019-20</c:v>
                </c:pt>
              </c:strCache>
            </c:strRef>
          </c:tx>
          <c:spPr>
            <a:solidFill>
              <a:srgbClr val="595A5C"/>
            </a:solidFill>
            <a:ln w="6350">
              <a:solidFill>
                <a:sysClr val="windowText" lastClr="000000"/>
              </a:solidFill>
            </a:ln>
          </c:spPr>
          <c:invertIfNegative val="0"/>
          <c:cat>
            <c:strRef>
              <c:f>('Jurisdiction by industry'!$A$27:$A$34,'Jurisdiction by industry'!$A$36:$A$37)</c:f>
              <c:strCache>
                <c:ptCount val="10"/>
                <c:pt idx="0">
                  <c:v>ACT Private</c:v>
                </c:pt>
                <c:pt idx="1">
                  <c:v>NSW</c:v>
                </c:pt>
                <c:pt idx="2">
                  <c:v>Vic</c:v>
                </c:pt>
                <c:pt idx="3">
                  <c:v>Tas</c:v>
                </c:pt>
                <c:pt idx="4">
                  <c:v>SA</c:v>
                </c:pt>
                <c:pt idx="5">
                  <c:v>NT</c:v>
                </c:pt>
                <c:pt idx="6">
                  <c:v>Qld</c:v>
                </c:pt>
                <c:pt idx="7">
                  <c:v>WA</c:v>
                </c:pt>
                <c:pt idx="8">
                  <c:v>Aus Av</c:v>
                </c:pt>
                <c:pt idx="9">
                  <c:v>NZ</c:v>
                </c:pt>
              </c:strCache>
            </c:strRef>
          </c:cat>
          <c:val>
            <c:numRef>
              <c:f>('Jurisdiction by industry'!$E$27:$E$34,'Jurisdiction by industry'!$E$36:$E$37)</c:f>
              <c:numCache>
                <c:formatCode>0.00</c:formatCode>
                <c:ptCount val="10"/>
                <c:pt idx="0">
                  <c:v>2.6892450058386581</c:v>
                </c:pt>
                <c:pt idx="1">
                  <c:v>3.3552748313982299</c:v>
                </c:pt>
                <c:pt idx="2">
                  <c:v>1.8818000156682815</c:v>
                </c:pt>
                <c:pt idx="3">
                  <c:v>1.3430699696302595</c:v>
                </c:pt>
                <c:pt idx="4">
                  <c:v>1.7047584120271637</c:v>
                </c:pt>
                <c:pt idx="5">
                  <c:v>1.533280499030552</c:v>
                </c:pt>
                <c:pt idx="6">
                  <c:v>1.3063651321461862</c:v>
                </c:pt>
                <c:pt idx="7">
                  <c:v>0.96381799963862114</c:v>
                </c:pt>
                <c:pt idx="8">
                  <c:v>1.4992713853427901</c:v>
                </c:pt>
                <c:pt idx="9">
                  <c:v>0.53172052862824037</c:v>
                </c:pt>
              </c:numCache>
            </c:numRef>
          </c:val>
          <c:extLst>
            <c:ext xmlns:c16="http://schemas.microsoft.com/office/drawing/2014/chart" uri="{C3380CC4-5D6E-409C-BE32-E72D297353CC}">
              <c16:uniqueId val="{00000002-2D4D-4140-9AF1-92C5776D2417}"/>
            </c:ext>
          </c:extLst>
        </c:ser>
        <c:ser>
          <c:idx val="2"/>
          <c:order val="3"/>
          <c:tx>
            <c:strRef>
              <c:f>'Jurisdiction by industry'!$F$26</c:f>
              <c:strCache>
                <c:ptCount val="1"/>
                <c:pt idx="0">
                  <c:v>2020-21</c:v>
                </c:pt>
              </c:strCache>
            </c:strRef>
          </c:tx>
          <c:spPr>
            <a:solidFill>
              <a:srgbClr val="3C3C3E"/>
            </a:solidFill>
            <a:ln w="6350">
              <a:solidFill>
                <a:sysClr val="windowText" lastClr="000000"/>
              </a:solidFill>
            </a:ln>
          </c:spPr>
          <c:invertIfNegative val="0"/>
          <c:cat>
            <c:strRef>
              <c:f>('Jurisdiction by industry'!$A$27:$A$34,'Jurisdiction by industry'!$A$36:$A$37)</c:f>
              <c:strCache>
                <c:ptCount val="10"/>
                <c:pt idx="0">
                  <c:v>ACT Private</c:v>
                </c:pt>
                <c:pt idx="1">
                  <c:v>NSW</c:v>
                </c:pt>
                <c:pt idx="2">
                  <c:v>Vic</c:v>
                </c:pt>
                <c:pt idx="3">
                  <c:v>Tas</c:v>
                </c:pt>
                <c:pt idx="4">
                  <c:v>SA</c:v>
                </c:pt>
                <c:pt idx="5">
                  <c:v>NT</c:v>
                </c:pt>
                <c:pt idx="6">
                  <c:v>Qld</c:v>
                </c:pt>
                <c:pt idx="7">
                  <c:v>WA</c:v>
                </c:pt>
                <c:pt idx="8">
                  <c:v>Aus Av</c:v>
                </c:pt>
                <c:pt idx="9">
                  <c:v>NZ</c:v>
                </c:pt>
              </c:strCache>
            </c:strRef>
          </c:cat>
          <c:val>
            <c:numRef>
              <c:f>('Jurisdiction by industry'!$F$27:$F$34,'Jurisdiction by industry'!$F$36:$F$37)</c:f>
              <c:numCache>
                <c:formatCode>0.00</c:formatCode>
                <c:ptCount val="10"/>
                <c:pt idx="0">
                  <c:v>4.4361989224992415</c:v>
                </c:pt>
                <c:pt idx="1">
                  <c:v>3.2453490841667634</c:v>
                </c:pt>
                <c:pt idx="2">
                  <c:v>1.8619034548088962</c:v>
                </c:pt>
                <c:pt idx="3">
                  <c:v>1.7783869110325548</c:v>
                </c:pt>
                <c:pt idx="4">
                  <c:v>1.6258270697521833</c:v>
                </c:pt>
                <c:pt idx="5">
                  <c:v>1.6258283473556383</c:v>
                </c:pt>
                <c:pt idx="6">
                  <c:v>1.3366304708597798</c:v>
                </c:pt>
                <c:pt idx="7">
                  <c:v>0.98709988904696466</c:v>
                </c:pt>
                <c:pt idx="8">
                  <c:v>1.4803025160634962</c:v>
                </c:pt>
                <c:pt idx="9">
                  <c:v>0.52843788613404852</c:v>
                </c:pt>
              </c:numCache>
            </c:numRef>
          </c:val>
          <c:extLst>
            <c:ext xmlns:c16="http://schemas.microsoft.com/office/drawing/2014/chart" uri="{C3380CC4-5D6E-409C-BE32-E72D297353CC}">
              <c16:uniqueId val="{00000003-2D4D-4140-9AF1-92C5776D2417}"/>
            </c:ext>
          </c:extLst>
        </c:ser>
        <c:ser>
          <c:idx val="3"/>
          <c:order val="4"/>
          <c:tx>
            <c:strRef>
              <c:f>'Jurisdiction by industry'!$G$26</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industry'!$A$27:$A$34,'Jurisdiction by industry'!$A$36:$A$37)</c:f>
              <c:strCache>
                <c:ptCount val="10"/>
                <c:pt idx="0">
                  <c:v>ACT Private</c:v>
                </c:pt>
                <c:pt idx="1">
                  <c:v>NSW</c:v>
                </c:pt>
                <c:pt idx="2">
                  <c:v>Vic</c:v>
                </c:pt>
                <c:pt idx="3">
                  <c:v>Tas</c:v>
                </c:pt>
                <c:pt idx="4">
                  <c:v>SA</c:v>
                </c:pt>
                <c:pt idx="5">
                  <c:v>NT</c:v>
                </c:pt>
                <c:pt idx="6">
                  <c:v>Qld</c:v>
                </c:pt>
                <c:pt idx="7">
                  <c:v>WA</c:v>
                </c:pt>
                <c:pt idx="8">
                  <c:v>Aus Av</c:v>
                </c:pt>
                <c:pt idx="9">
                  <c:v>NZ</c:v>
                </c:pt>
              </c:strCache>
            </c:strRef>
          </c:cat>
          <c:val>
            <c:numRef>
              <c:f>('Jurisdiction by industry'!$G$27:$G$34,'Jurisdiction by industry'!$G$36:$G$37)</c:f>
              <c:numCache>
                <c:formatCode>0.00</c:formatCode>
                <c:ptCount val="10"/>
                <c:pt idx="0">
                  <c:v>5.913687903259909</c:v>
                </c:pt>
                <c:pt idx="1">
                  <c:v>3.5396797783620713</c:v>
                </c:pt>
                <c:pt idx="2">
                  <c:v>2.0598394008699858</c:v>
                </c:pt>
                <c:pt idx="3">
                  <c:v>1.9168625010297524</c:v>
                </c:pt>
                <c:pt idx="4">
                  <c:v>1.6033326197112465</c:v>
                </c:pt>
                <c:pt idx="5">
                  <c:v>1.4846066712799917</c:v>
                </c:pt>
                <c:pt idx="6">
                  <c:v>1.1785253489296355</c:v>
                </c:pt>
                <c:pt idx="7">
                  <c:v>0.96346889701912131</c:v>
                </c:pt>
                <c:pt idx="8">
                  <c:v>1.4806772491248239</c:v>
                </c:pt>
                <c:pt idx="9">
                  <c:v>0.50570426917569233</c:v>
                </c:pt>
              </c:numCache>
            </c:numRef>
          </c:val>
          <c:extLst>
            <c:ext xmlns:c16="http://schemas.microsoft.com/office/drawing/2014/chart" uri="{C3380CC4-5D6E-409C-BE32-E72D297353CC}">
              <c16:uniqueId val="{00000004-2D4D-4140-9AF1-92C5776D2417}"/>
            </c:ext>
          </c:extLst>
        </c:ser>
        <c:dLbls>
          <c:showLegendKey val="0"/>
          <c:showVal val="0"/>
          <c:showCatName val="0"/>
          <c:showSerName val="0"/>
          <c:showPercent val="0"/>
          <c:showBubbleSize val="0"/>
        </c:dLbls>
        <c:gapWidth val="150"/>
        <c:axId val="220836224"/>
        <c:axId val="220837760"/>
      </c:barChart>
      <c:lineChart>
        <c:grouping val="standard"/>
        <c:varyColors val="0"/>
        <c:ser>
          <c:idx val="4"/>
          <c:order val="5"/>
          <c:tx>
            <c:strRef>
              <c:f>'Jurisdiction by industry'!$H$25</c:f>
              <c:strCache>
                <c:ptCount val="1"/>
                <c:pt idx="0">
                  <c:v>2021-22 Aus av</c:v>
                </c:pt>
              </c:strCache>
            </c:strRef>
          </c:tx>
          <c:spPr>
            <a:ln>
              <a:solidFill>
                <a:srgbClr val="C10A27"/>
              </a:solidFill>
            </a:ln>
          </c:spPr>
          <c:marker>
            <c:symbol val="none"/>
          </c:marker>
          <c:cat>
            <c:strRef>
              <c:f>('Jurisdiction by industry'!$B$27:$B$34,'Jurisdiction by industry'!$B$36:$B$37)</c:f>
              <c:strCache>
                <c:ptCount val="10"/>
                <c:pt idx="0">
                  <c:v>ACT Private</c:v>
                </c:pt>
                <c:pt idx="1">
                  <c:v>NSW</c:v>
                </c:pt>
                <c:pt idx="2">
                  <c:v>Vic</c:v>
                </c:pt>
                <c:pt idx="3">
                  <c:v>Tas</c:v>
                </c:pt>
                <c:pt idx="4">
                  <c:v>SA</c:v>
                </c:pt>
                <c:pt idx="5">
                  <c:v>NT</c:v>
                </c:pt>
                <c:pt idx="6">
                  <c:v>Qld</c:v>
                </c:pt>
                <c:pt idx="7">
                  <c:v>WA</c:v>
                </c:pt>
                <c:pt idx="8">
                  <c:v>Aus Av</c:v>
                </c:pt>
                <c:pt idx="9">
                  <c:v>NZ</c:v>
                </c:pt>
              </c:strCache>
            </c:strRef>
          </c:cat>
          <c:val>
            <c:numRef>
              <c:f>'Jurisdiction by industry'!$H$27:$H$34</c:f>
              <c:numCache>
                <c:formatCode>0.00</c:formatCode>
                <c:ptCount val="8"/>
                <c:pt idx="0">
                  <c:v>1.4806772491248239</c:v>
                </c:pt>
                <c:pt idx="1">
                  <c:v>1.4806772491248239</c:v>
                </c:pt>
                <c:pt idx="2">
                  <c:v>1.4806772491248239</c:v>
                </c:pt>
                <c:pt idx="3">
                  <c:v>1.4806772491248239</c:v>
                </c:pt>
                <c:pt idx="4">
                  <c:v>1.4806772491248239</c:v>
                </c:pt>
                <c:pt idx="5">
                  <c:v>1.4806772491248239</c:v>
                </c:pt>
                <c:pt idx="6">
                  <c:v>1.4806772491248239</c:v>
                </c:pt>
                <c:pt idx="7">
                  <c:v>1.4806772491248239</c:v>
                </c:pt>
              </c:numCache>
            </c:numRef>
          </c:val>
          <c:smooth val="0"/>
          <c:extLst>
            <c:ext xmlns:c16="http://schemas.microsoft.com/office/drawing/2014/chart" uri="{C3380CC4-5D6E-409C-BE32-E72D297353CC}">
              <c16:uniqueId val="{00000005-2D4D-4140-9AF1-92C5776D2417}"/>
            </c:ext>
          </c:extLst>
        </c:ser>
        <c:dLbls>
          <c:showLegendKey val="0"/>
          <c:showVal val="0"/>
          <c:showCatName val="0"/>
          <c:showSerName val="0"/>
          <c:showPercent val="0"/>
          <c:showBubbleSize val="0"/>
        </c:dLbls>
        <c:marker val="1"/>
        <c:smooth val="0"/>
        <c:axId val="220836224"/>
        <c:axId val="220837760"/>
      </c:lineChart>
      <c:catAx>
        <c:axId val="2208362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837760"/>
        <c:crosses val="autoZero"/>
        <c:auto val="1"/>
        <c:lblAlgn val="ctr"/>
        <c:lblOffset val="100"/>
        <c:tickMarkSkip val="1"/>
        <c:noMultiLvlLbl val="0"/>
      </c:catAx>
      <c:valAx>
        <c:axId val="220837760"/>
        <c:scaling>
          <c:orientation val="minMax"/>
          <c:max val="6"/>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9.011618968783755E-2"/>
              <c:y val="0.2107643842912734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836224"/>
        <c:crosses val="autoZero"/>
        <c:crossBetween val="between"/>
        <c:majorUnit val="1"/>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23114006120434"/>
          <c:y val="3.2016981261891411E-2"/>
          <c:w val="0.79103342303731017"/>
          <c:h val="0.55962447487041633"/>
        </c:manualLayout>
      </c:layout>
      <c:barChart>
        <c:barDir val="col"/>
        <c:grouping val="clustered"/>
        <c:varyColors val="0"/>
        <c:ser>
          <c:idx val="6"/>
          <c:order val="0"/>
          <c:tx>
            <c:strRef>
              <c:f>'Jurisdiction by industry'!$C$46</c:f>
              <c:strCache>
                <c:ptCount val="1"/>
                <c:pt idx="0">
                  <c:v>2017-18</c:v>
                </c:pt>
              </c:strCache>
            </c:strRef>
          </c:tx>
          <c:spPr>
            <a:solidFill>
              <a:srgbClr val="D9D9D9"/>
            </a:solidFill>
            <a:ln w="6350">
              <a:solidFill>
                <a:sysClr val="windowText" lastClr="000000"/>
              </a:solidFill>
            </a:ln>
          </c:spPr>
          <c:invertIfNegative val="0"/>
          <c:cat>
            <c:strRef>
              <c:f>'Jurisdiction by industry'!$A$47:$A$57</c:f>
              <c:strCache>
                <c:ptCount val="11"/>
                <c:pt idx="0">
                  <c:v>ACT Private</c:v>
                </c:pt>
                <c:pt idx="1">
                  <c:v>NSW</c:v>
                </c:pt>
                <c:pt idx="2">
                  <c:v>SA</c:v>
                </c:pt>
                <c:pt idx="3">
                  <c:v>Tas</c:v>
                </c:pt>
                <c:pt idx="4">
                  <c:v>WA</c:v>
                </c:pt>
                <c:pt idx="5">
                  <c:v>Vic</c:v>
                </c:pt>
                <c:pt idx="6">
                  <c:v>NT</c:v>
                </c:pt>
                <c:pt idx="7">
                  <c:v>Qld</c:v>
                </c:pt>
                <c:pt idx="8">
                  <c:v>Comcare</c:v>
                </c:pt>
                <c:pt idx="9">
                  <c:v>Aus Av</c:v>
                </c:pt>
                <c:pt idx="10">
                  <c:v>NZ</c:v>
                </c:pt>
              </c:strCache>
            </c:strRef>
          </c:cat>
          <c:val>
            <c:numRef>
              <c:f>'Jurisdiction by industry'!$C$47:$C$57</c:f>
              <c:numCache>
                <c:formatCode>0.00</c:formatCode>
                <c:ptCount val="11"/>
                <c:pt idx="0">
                  <c:v>3.5819259030565007</c:v>
                </c:pt>
                <c:pt idx="1">
                  <c:v>2.366221109137292</c:v>
                </c:pt>
                <c:pt idx="2">
                  <c:v>2.8593303409621691</c:v>
                </c:pt>
                <c:pt idx="3">
                  <c:v>1.7644990753823455</c:v>
                </c:pt>
                <c:pt idx="4">
                  <c:v>1.8414772231492165</c:v>
                </c:pt>
                <c:pt idx="5">
                  <c:v>2.3950549214732813</c:v>
                </c:pt>
                <c:pt idx="6">
                  <c:v>1.8249733044371959</c:v>
                </c:pt>
                <c:pt idx="7">
                  <c:v>1.9418682797602005</c:v>
                </c:pt>
                <c:pt idx="8">
                  <c:v>0.14234388657895794</c:v>
                </c:pt>
                <c:pt idx="9">
                  <c:v>2.24965993383009</c:v>
                </c:pt>
                <c:pt idx="10">
                  <c:v>0.64336220389240628</c:v>
                </c:pt>
              </c:numCache>
            </c:numRef>
          </c:val>
          <c:extLst>
            <c:ext xmlns:c16="http://schemas.microsoft.com/office/drawing/2014/chart" uri="{C3380CC4-5D6E-409C-BE32-E72D297353CC}">
              <c16:uniqueId val="{00000000-51CD-4170-9C86-FEC2EE00229A}"/>
            </c:ext>
          </c:extLst>
        </c:ser>
        <c:ser>
          <c:idx val="0"/>
          <c:order val="1"/>
          <c:tx>
            <c:strRef>
              <c:f>'Jurisdiction by industry'!$D$46</c:f>
              <c:strCache>
                <c:ptCount val="1"/>
                <c:pt idx="0">
                  <c:v>2018-19</c:v>
                </c:pt>
              </c:strCache>
            </c:strRef>
          </c:tx>
          <c:spPr>
            <a:solidFill>
              <a:srgbClr val="A6A6A6"/>
            </a:solidFill>
            <a:ln w="6350">
              <a:solidFill>
                <a:sysClr val="windowText" lastClr="000000"/>
              </a:solidFill>
            </a:ln>
          </c:spPr>
          <c:invertIfNegative val="0"/>
          <c:cat>
            <c:strRef>
              <c:f>'Jurisdiction by industry'!$A$47:$A$57</c:f>
              <c:strCache>
                <c:ptCount val="11"/>
                <c:pt idx="0">
                  <c:v>ACT Private</c:v>
                </c:pt>
                <c:pt idx="1">
                  <c:v>NSW</c:v>
                </c:pt>
                <c:pt idx="2">
                  <c:v>SA</c:v>
                </c:pt>
                <c:pt idx="3">
                  <c:v>Tas</c:v>
                </c:pt>
                <c:pt idx="4">
                  <c:v>WA</c:v>
                </c:pt>
                <c:pt idx="5">
                  <c:v>Vic</c:v>
                </c:pt>
                <c:pt idx="6">
                  <c:v>NT</c:v>
                </c:pt>
                <c:pt idx="7">
                  <c:v>Qld</c:v>
                </c:pt>
                <c:pt idx="8">
                  <c:v>Comcare</c:v>
                </c:pt>
                <c:pt idx="9">
                  <c:v>Aus Av</c:v>
                </c:pt>
                <c:pt idx="10">
                  <c:v>NZ</c:v>
                </c:pt>
              </c:strCache>
            </c:strRef>
          </c:cat>
          <c:val>
            <c:numRef>
              <c:f>'Jurisdiction by industry'!$D$47:$D$57</c:f>
              <c:numCache>
                <c:formatCode>0.00</c:formatCode>
                <c:ptCount val="11"/>
                <c:pt idx="0">
                  <c:v>3.5477274199333957</c:v>
                </c:pt>
                <c:pt idx="1">
                  <c:v>2.4841669794048649</c:v>
                </c:pt>
                <c:pt idx="2">
                  <c:v>2.6075420377944072</c:v>
                </c:pt>
                <c:pt idx="3">
                  <c:v>1.6567167053910103</c:v>
                </c:pt>
                <c:pt idx="4">
                  <c:v>1.9566553103840589</c:v>
                </c:pt>
                <c:pt idx="5">
                  <c:v>2.3366870677175768</c:v>
                </c:pt>
                <c:pt idx="6">
                  <c:v>1.8931806466738212</c:v>
                </c:pt>
                <c:pt idx="7">
                  <c:v>1.828478976433122</c:v>
                </c:pt>
                <c:pt idx="8">
                  <c:v>0.16089337267321654</c:v>
                </c:pt>
                <c:pt idx="9">
                  <c:v>2.2324142004050569</c:v>
                </c:pt>
                <c:pt idx="10">
                  <c:v>0.65576492794540442</c:v>
                </c:pt>
              </c:numCache>
            </c:numRef>
          </c:val>
          <c:extLst>
            <c:ext xmlns:c16="http://schemas.microsoft.com/office/drawing/2014/chart" uri="{C3380CC4-5D6E-409C-BE32-E72D297353CC}">
              <c16:uniqueId val="{00000001-51CD-4170-9C86-FEC2EE00229A}"/>
            </c:ext>
          </c:extLst>
        </c:ser>
        <c:ser>
          <c:idx val="1"/>
          <c:order val="2"/>
          <c:tx>
            <c:strRef>
              <c:f>'Jurisdiction by industry'!$E$46</c:f>
              <c:strCache>
                <c:ptCount val="1"/>
                <c:pt idx="0">
                  <c:v>2019-20</c:v>
                </c:pt>
              </c:strCache>
            </c:strRef>
          </c:tx>
          <c:spPr>
            <a:solidFill>
              <a:srgbClr val="595A5C"/>
            </a:solidFill>
            <a:ln w="6350">
              <a:solidFill>
                <a:sysClr val="windowText" lastClr="000000"/>
              </a:solidFill>
            </a:ln>
          </c:spPr>
          <c:invertIfNegative val="0"/>
          <c:cat>
            <c:strRef>
              <c:f>'Jurisdiction by industry'!$A$47:$A$57</c:f>
              <c:strCache>
                <c:ptCount val="11"/>
                <c:pt idx="0">
                  <c:v>ACT Private</c:v>
                </c:pt>
                <c:pt idx="1">
                  <c:v>NSW</c:v>
                </c:pt>
                <c:pt idx="2">
                  <c:v>SA</c:v>
                </c:pt>
                <c:pt idx="3">
                  <c:v>Tas</c:v>
                </c:pt>
                <c:pt idx="4">
                  <c:v>WA</c:v>
                </c:pt>
                <c:pt idx="5">
                  <c:v>Vic</c:v>
                </c:pt>
                <c:pt idx="6">
                  <c:v>NT</c:v>
                </c:pt>
                <c:pt idx="7">
                  <c:v>Qld</c:v>
                </c:pt>
                <c:pt idx="8">
                  <c:v>Comcare</c:v>
                </c:pt>
                <c:pt idx="9">
                  <c:v>Aus Av</c:v>
                </c:pt>
                <c:pt idx="10">
                  <c:v>NZ</c:v>
                </c:pt>
              </c:strCache>
            </c:strRef>
          </c:cat>
          <c:val>
            <c:numRef>
              <c:f>'Jurisdiction by industry'!$E$47:$E$57</c:f>
              <c:numCache>
                <c:formatCode>0.00</c:formatCode>
                <c:ptCount val="11"/>
                <c:pt idx="0">
                  <c:v>3.7034902958659806</c:v>
                </c:pt>
                <c:pt idx="1">
                  <c:v>2.546170648972935</c:v>
                </c:pt>
                <c:pt idx="2">
                  <c:v>2.4395637049148382</c:v>
                </c:pt>
                <c:pt idx="3">
                  <c:v>1.8090129118097127</c:v>
                </c:pt>
                <c:pt idx="4">
                  <c:v>1.9679049085164744</c:v>
                </c:pt>
                <c:pt idx="5">
                  <c:v>2.2872203385409993</c:v>
                </c:pt>
                <c:pt idx="6">
                  <c:v>1.8325607884049306</c:v>
                </c:pt>
                <c:pt idx="7">
                  <c:v>1.8187491870275945</c:v>
                </c:pt>
                <c:pt idx="8">
                  <c:v>0.25371016887629022</c:v>
                </c:pt>
                <c:pt idx="9">
                  <c:v>2.2347030607310034</c:v>
                </c:pt>
                <c:pt idx="10">
                  <c:v>0.64591523707214182</c:v>
                </c:pt>
              </c:numCache>
            </c:numRef>
          </c:val>
          <c:extLst>
            <c:ext xmlns:c16="http://schemas.microsoft.com/office/drawing/2014/chart" uri="{C3380CC4-5D6E-409C-BE32-E72D297353CC}">
              <c16:uniqueId val="{00000002-51CD-4170-9C86-FEC2EE00229A}"/>
            </c:ext>
          </c:extLst>
        </c:ser>
        <c:ser>
          <c:idx val="2"/>
          <c:order val="3"/>
          <c:tx>
            <c:strRef>
              <c:f>'Jurisdiction by industry'!$F$46</c:f>
              <c:strCache>
                <c:ptCount val="1"/>
                <c:pt idx="0">
                  <c:v>2020-21</c:v>
                </c:pt>
              </c:strCache>
            </c:strRef>
          </c:tx>
          <c:spPr>
            <a:solidFill>
              <a:srgbClr val="3C3C3E"/>
            </a:solidFill>
            <a:ln w="6350">
              <a:solidFill>
                <a:sysClr val="windowText" lastClr="000000"/>
              </a:solidFill>
            </a:ln>
          </c:spPr>
          <c:invertIfNegative val="0"/>
          <c:cat>
            <c:strRef>
              <c:f>'Jurisdiction by industry'!$A$47:$A$57</c:f>
              <c:strCache>
                <c:ptCount val="11"/>
                <c:pt idx="0">
                  <c:v>ACT Private</c:v>
                </c:pt>
                <c:pt idx="1">
                  <c:v>NSW</c:v>
                </c:pt>
                <c:pt idx="2">
                  <c:v>SA</c:v>
                </c:pt>
                <c:pt idx="3">
                  <c:v>Tas</c:v>
                </c:pt>
                <c:pt idx="4">
                  <c:v>WA</c:v>
                </c:pt>
                <c:pt idx="5">
                  <c:v>Vic</c:v>
                </c:pt>
                <c:pt idx="6">
                  <c:v>NT</c:v>
                </c:pt>
                <c:pt idx="7">
                  <c:v>Qld</c:v>
                </c:pt>
                <c:pt idx="8">
                  <c:v>Comcare</c:v>
                </c:pt>
                <c:pt idx="9">
                  <c:v>Aus Av</c:v>
                </c:pt>
                <c:pt idx="10">
                  <c:v>NZ</c:v>
                </c:pt>
              </c:strCache>
            </c:strRef>
          </c:cat>
          <c:val>
            <c:numRef>
              <c:f>'Jurisdiction by industry'!$F$47:$F$57</c:f>
              <c:numCache>
                <c:formatCode>0.00</c:formatCode>
                <c:ptCount val="11"/>
                <c:pt idx="0">
                  <c:v>3.9906695654132442</c:v>
                </c:pt>
                <c:pt idx="1">
                  <c:v>2.6224687282784953</c:v>
                </c:pt>
                <c:pt idx="2">
                  <c:v>2.4404563429053354</c:v>
                </c:pt>
                <c:pt idx="3">
                  <c:v>1.9402378634317783</c:v>
                </c:pt>
                <c:pt idx="4">
                  <c:v>2.1146587917039565</c:v>
                </c:pt>
                <c:pt idx="5">
                  <c:v>2.2196481626379629</c:v>
                </c:pt>
                <c:pt idx="6">
                  <c:v>1.8079394311532488</c:v>
                </c:pt>
                <c:pt idx="7">
                  <c:v>1.8158959480632675</c:v>
                </c:pt>
                <c:pt idx="8">
                  <c:v>0.26866334985171592</c:v>
                </c:pt>
                <c:pt idx="9">
                  <c:v>2.2434951225987478</c:v>
                </c:pt>
                <c:pt idx="10">
                  <c:v>0.63861549804580775</c:v>
                </c:pt>
              </c:numCache>
            </c:numRef>
          </c:val>
          <c:extLst>
            <c:ext xmlns:c16="http://schemas.microsoft.com/office/drawing/2014/chart" uri="{C3380CC4-5D6E-409C-BE32-E72D297353CC}">
              <c16:uniqueId val="{00000003-51CD-4170-9C86-FEC2EE00229A}"/>
            </c:ext>
          </c:extLst>
        </c:ser>
        <c:ser>
          <c:idx val="3"/>
          <c:order val="4"/>
          <c:tx>
            <c:strRef>
              <c:f>'Jurisdiction by industry'!$G$46</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industry'!$A$47:$A$57</c:f>
              <c:strCache>
                <c:ptCount val="11"/>
                <c:pt idx="0">
                  <c:v>ACT Private</c:v>
                </c:pt>
                <c:pt idx="1">
                  <c:v>NSW</c:v>
                </c:pt>
                <c:pt idx="2">
                  <c:v>SA</c:v>
                </c:pt>
                <c:pt idx="3">
                  <c:v>Tas</c:v>
                </c:pt>
                <c:pt idx="4">
                  <c:v>WA</c:v>
                </c:pt>
                <c:pt idx="5">
                  <c:v>Vic</c:v>
                </c:pt>
                <c:pt idx="6">
                  <c:v>NT</c:v>
                </c:pt>
                <c:pt idx="7">
                  <c:v>Qld</c:v>
                </c:pt>
                <c:pt idx="8">
                  <c:v>Comcare</c:v>
                </c:pt>
                <c:pt idx="9">
                  <c:v>Aus Av</c:v>
                </c:pt>
                <c:pt idx="10">
                  <c:v>NZ</c:v>
                </c:pt>
              </c:strCache>
            </c:strRef>
          </c:cat>
          <c:val>
            <c:numRef>
              <c:f>'Jurisdiction by industry'!$G$47:$G$57</c:f>
              <c:numCache>
                <c:formatCode>0.00</c:formatCode>
                <c:ptCount val="11"/>
                <c:pt idx="0">
                  <c:v>4.0957912959239708</c:v>
                </c:pt>
                <c:pt idx="1">
                  <c:v>2.6480865970222212</c:v>
                </c:pt>
                <c:pt idx="2">
                  <c:v>2.4632122787614628</c:v>
                </c:pt>
                <c:pt idx="3">
                  <c:v>2.1602013704592369</c:v>
                </c:pt>
                <c:pt idx="4">
                  <c:v>2.1466454389562286</c:v>
                </c:pt>
                <c:pt idx="5">
                  <c:v>2.1231042859734912</c:v>
                </c:pt>
                <c:pt idx="6">
                  <c:v>1.8773159089552101</c:v>
                </c:pt>
                <c:pt idx="7">
                  <c:v>1.7901850578668765</c:v>
                </c:pt>
                <c:pt idx="8">
                  <c:v>1.2339737384554221</c:v>
                </c:pt>
                <c:pt idx="9">
                  <c:v>2.2355896215609921</c:v>
                </c:pt>
                <c:pt idx="10">
                  <c:v>0.63906118713914295</c:v>
                </c:pt>
              </c:numCache>
            </c:numRef>
          </c:val>
          <c:extLst>
            <c:ext xmlns:c16="http://schemas.microsoft.com/office/drawing/2014/chart" uri="{C3380CC4-5D6E-409C-BE32-E72D297353CC}">
              <c16:uniqueId val="{00000004-51CD-4170-9C86-FEC2EE00229A}"/>
            </c:ext>
          </c:extLst>
        </c:ser>
        <c:dLbls>
          <c:showLegendKey val="0"/>
          <c:showVal val="0"/>
          <c:showCatName val="0"/>
          <c:showSerName val="0"/>
          <c:showPercent val="0"/>
          <c:showBubbleSize val="0"/>
        </c:dLbls>
        <c:gapWidth val="150"/>
        <c:axId val="220904064"/>
        <c:axId val="220914048"/>
      </c:barChart>
      <c:lineChart>
        <c:grouping val="standard"/>
        <c:varyColors val="0"/>
        <c:ser>
          <c:idx val="4"/>
          <c:order val="5"/>
          <c:tx>
            <c:strRef>
              <c:f>'Jurisdiction by industry'!$H$45</c:f>
              <c:strCache>
                <c:ptCount val="1"/>
                <c:pt idx="0">
                  <c:v>2021-22 Aus av</c:v>
                </c:pt>
              </c:strCache>
            </c:strRef>
          </c:tx>
          <c:spPr>
            <a:ln>
              <a:solidFill>
                <a:srgbClr val="C10A27"/>
              </a:solidFill>
            </a:ln>
          </c:spPr>
          <c:marker>
            <c:symbol val="none"/>
          </c:marker>
          <c:val>
            <c:numRef>
              <c:f>'Jurisdiction by industry'!$H$47:$H$57</c:f>
              <c:numCache>
                <c:formatCode>0.00</c:formatCode>
                <c:ptCount val="11"/>
                <c:pt idx="0">
                  <c:v>2.2355896215609921</c:v>
                </c:pt>
                <c:pt idx="1">
                  <c:v>2.2355896215609921</c:v>
                </c:pt>
                <c:pt idx="2">
                  <c:v>2.2355896215609921</c:v>
                </c:pt>
                <c:pt idx="3">
                  <c:v>2.2355896215609921</c:v>
                </c:pt>
                <c:pt idx="4">
                  <c:v>2.2355896215609921</c:v>
                </c:pt>
                <c:pt idx="5">
                  <c:v>2.2355896215609921</c:v>
                </c:pt>
                <c:pt idx="6">
                  <c:v>2.2355896215609921</c:v>
                </c:pt>
                <c:pt idx="7">
                  <c:v>2.2355896215609921</c:v>
                </c:pt>
                <c:pt idx="8">
                  <c:v>2.2355896215609921</c:v>
                </c:pt>
              </c:numCache>
            </c:numRef>
          </c:val>
          <c:smooth val="0"/>
          <c:extLst>
            <c:ext xmlns:c16="http://schemas.microsoft.com/office/drawing/2014/chart" uri="{C3380CC4-5D6E-409C-BE32-E72D297353CC}">
              <c16:uniqueId val="{00000005-51CD-4170-9C86-FEC2EE00229A}"/>
            </c:ext>
          </c:extLst>
        </c:ser>
        <c:dLbls>
          <c:showLegendKey val="0"/>
          <c:showVal val="0"/>
          <c:showCatName val="0"/>
          <c:showSerName val="0"/>
          <c:showPercent val="0"/>
          <c:showBubbleSize val="0"/>
        </c:dLbls>
        <c:marker val="1"/>
        <c:smooth val="0"/>
        <c:axId val="220904064"/>
        <c:axId val="220914048"/>
      </c:lineChart>
      <c:catAx>
        <c:axId val="2209040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914048"/>
        <c:crosses val="autoZero"/>
        <c:auto val="1"/>
        <c:lblAlgn val="ctr"/>
        <c:lblOffset val="100"/>
        <c:tickMarkSkip val="1"/>
        <c:noMultiLvlLbl val="0"/>
      </c:catAx>
      <c:valAx>
        <c:axId val="220914048"/>
        <c:scaling>
          <c:orientation val="minMax"/>
          <c:max val="5"/>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9.0912967742128994E-2"/>
              <c:y val="0.2270920202102085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904064"/>
        <c:crosses val="autoZero"/>
        <c:crossBetween val="between"/>
        <c:majorUnit val="1"/>
      </c:valAx>
      <c:dTable>
        <c:showHorzBorder val="0"/>
        <c:showVertBorder val="0"/>
        <c:showOutline val="0"/>
        <c:showKeys val="1"/>
        <c:txPr>
          <a:bodyPr/>
          <a:lstStyle/>
          <a:p>
            <a:pPr rtl="0">
              <a:defRPr sz="800"/>
            </a:pPr>
            <a:endParaRPr lang="en-US"/>
          </a:p>
        </c:txPr>
      </c:dTable>
      <c:spPr>
        <a:noFill/>
        <a:ln w="3175">
          <a:solidFill>
            <a:srgbClr val="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8735987771604"/>
          <c:y val="4.3773503068974227E-2"/>
          <c:w val="0.78892371839595998"/>
          <c:h val="0.55249079072010354"/>
        </c:manualLayout>
      </c:layout>
      <c:barChart>
        <c:barDir val="col"/>
        <c:grouping val="clustered"/>
        <c:varyColors val="0"/>
        <c:ser>
          <c:idx val="6"/>
          <c:order val="0"/>
          <c:tx>
            <c:strRef>
              <c:f>'Jurisdiction by industry'!$C$69</c:f>
              <c:strCache>
                <c:ptCount val="1"/>
                <c:pt idx="0">
                  <c:v>2017-18</c:v>
                </c:pt>
              </c:strCache>
            </c:strRef>
          </c:tx>
          <c:spPr>
            <a:solidFill>
              <a:srgbClr val="D9D9D9"/>
            </a:solidFill>
            <a:ln w="6350">
              <a:solidFill>
                <a:sysClr val="windowText" lastClr="000000"/>
              </a:solidFill>
            </a:ln>
          </c:spPr>
          <c:invertIfNegative val="0"/>
          <c:cat>
            <c:strRef>
              <c:f>'Jurisdiction by industry'!$A$70:$A$80</c:f>
              <c:strCache>
                <c:ptCount val="11"/>
                <c:pt idx="0">
                  <c:v>ACT Private</c:v>
                </c:pt>
                <c:pt idx="1">
                  <c:v>NSW</c:v>
                </c:pt>
                <c:pt idx="2">
                  <c:v>Comcare</c:v>
                </c:pt>
                <c:pt idx="3">
                  <c:v>SA</c:v>
                </c:pt>
                <c:pt idx="4">
                  <c:v>Vic</c:v>
                </c:pt>
                <c:pt idx="5">
                  <c:v>WA</c:v>
                </c:pt>
                <c:pt idx="6">
                  <c:v>Tas</c:v>
                </c:pt>
                <c:pt idx="7">
                  <c:v>Qld</c:v>
                </c:pt>
                <c:pt idx="8">
                  <c:v>NT</c:v>
                </c:pt>
                <c:pt idx="9">
                  <c:v>Aus Av</c:v>
                </c:pt>
                <c:pt idx="10">
                  <c:v>NZ</c:v>
                </c:pt>
              </c:strCache>
            </c:strRef>
          </c:cat>
          <c:val>
            <c:numRef>
              <c:f>'Jurisdiction by industry'!$C$70:$C$80</c:f>
              <c:numCache>
                <c:formatCode>0.00</c:formatCode>
                <c:ptCount val="11"/>
                <c:pt idx="0">
                  <c:v>2.3943088323892572</c:v>
                </c:pt>
                <c:pt idx="1">
                  <c:v>1.8177702256824908</c:v>
                </c:pt>
                <c:pt idx="2">
                  <c:v>1.5542727916310701</c:v>
                </c:pt>
                <c:pt idx="3">
                  <c:v>1.2731361031438033</c:v>
                </c:pt>
                <c:pt idx="4">
                  <c:v>1.254062258510253</c:v>
                </c:pt>
                <c:pt idx="5">
                  <c:v>0.77671767917292012</c:v>
                </c:pt>
                <c:pt idx="6">
                  <c:v>0.90836860457682322</c:v>
                </c:pt>
                <c:pt idx="7">
                  <c:v>0.86968525307529376</c:v>
                </c:pt>
                <c:pt idx="8">
                  <c:v>0.73922219469346118</c:v>
                </c:pt>
                <c:pt idx="9">
                  <c:v>1.267778234550565</c:v>
                </c:pt>
                <c:pt idx="10">
                  <c:v>0.5746222710874167</c:v>
                </c:pt>
              </c:numCache>
            </c:numRef>
          </c:val>
          <c:extLst>
            <c:ext xmlns:c16="http://schemas.microsoft.com/office/drawing/2014/chart" uri="{C3380CC4-5D6E-409C-BE32-E72D297353CC}">
              <c16:uniqueId val="{00000000-7407-46E7-B299-88A7F2B70AA0}"/>
            </c:ext>
          </c:extLst>
        </c:ser>
        <c:ser>
          <c:idx val="0"/>
          <c:order val="1"/>
          <c:tx>
            <c:strRef>
              <c:f>'Jurisdiction by industry'!$D$69</c:f>
              <c:strCache>
                <c:ptCount val="1"/>
                <c:pt idx="0">
                  <c:v>2018-19</c:v>
                </c:pt>
              </c:strCache>
            </c:strRef>
          </c:tx>
          <c:spPr>
            <a:solidFill>
              <a:srgbClr val="A6A6A6"/>
            </a:solidFill>
            <a:ln w="6350">
              <a:solidFill>
                <a:sysClr val="windowText" lastClr="000000"/>
              </a:solidFill>
            </a:ln>
          </c:spPr>
          <c:invertIfNegative val="0"/>
          <c:cat>
            <c:strRef>
              <c:f>'Jurisdiction by industry'!$A$70:$A$80</c:f>
              <c:strCache>
                <c:ptCount val="11"/>
                <c:pt idx="0">
                  <c:v>ACT Private</c:v>
                </c:pt>
                <c:pt idx="1">
                  <c:v>NSW</c:v>
                </c:pt>
                <c:pt idx="2">
                  <c:v>Comcare</c:v>
                </c:pt>
                <c:pt idx="3">
                  <c:v>SA</c:v>
                </c:pt>
                <c:pt idx="4">
                  <c:v>Vic</c:v>
                </c:pt>
                <c:pt idx="5">
                  <c:v>WA</c:v>
                </c:pt>
                <c:pt idx="6">
                  <c:v>Tas</c:v>
                </c:pt>
                <c:pt idx="7">
                  <c:v>Qld</c:v>
                </c:pt>
                <c:pt idx="8">
                  <c:v>NT</c:v>
                </c:pt>
                <c:pt idx="9">
                  <c:v>Aus Av</c:v>
                </c:pt>
                <c:pt idx="10">
                  <c:v>NZ</c:v>
                </c:pt>
              </c:strCache>
            </c:strRef>
          </c:cat>
          <c:val>
            <c:numRef>
              <c:f>'Jurisdiction by industry'!$D$70:$D$80</c:f>
              <c:numCache>
                <c:formatCode>0.00</c:formatCode>
                <c:ptCount val="11"/>
                <c:pt idx="0">
                  <c:v>2.0383764774754365</c:v>
                </c:pt>
                <c:pt idx="1">
                  <c:v>1.8139557688765624</c:v>
                </c:pt>
                <c:pt idx="2">
                  <c:v>1.4756838505981946</c:v>
                </c:pt>
                <c:pt idx="3">
                  <c:v>1.1476498422592634</c:v>
                </c:pt>
                <c:pt idx="4">
                  <c:v>1.250776785756206</c:v>
                </c:pt>
                <c:pt idx="5">
                  <c:v>0.88147966879414463</c:v>
                </c:pt>
                <c:pt idx="6">
                  <c:v>0.87527854395504945</c:v>
                </c:pt>
                <c:pt idx="7">
                  <c:v>0.86281086026376697</c:v>
                </c:pt>
                <c:pt idx="8">
                  <c:v>0.64798363920600377</c:v>
                </c:pt>
                <c:pt idx="9">
                  <c:v>1.2739645952885013</c:v>
                </c:pt>
                <c:pt idx="10">
                  <c:v>0.59452989995653882</c:v>
                </c:pt>
              </c:numCache>
            </c:numRef>
          </c:val>
          <c:extLst>
            <c:ext xmlns:c16="http://schemas.microsoft.com/office/drawing/2014/chart" uri="{C3380CC4-5D6E-409C-BE32-E72D297353CC}">
              <c16:uniqueId val="{00000001-7407-46E7-B299-88A7F2B70AA0}"/>
            </c:ext>
          </c:extLst>
        </c:ser>
        <c:ser>
          <c:idx val="1"/>
          <c:order val="2"/>
          <c:tx>
            <c:strRef>
              <c:f>'Jurisdiction by industry'!$E$69</c:f>
              <c:strCache>
                <c:ptCount val="1"/>
                <c:pt idx="0">
                  <c:v>2019-20</c:v>
                </c:pt>
              </c:strCache>
            </c:strRef>
          </c:tx>
          <c:spPr>
            <a:solidFill>
              <a:srgbClr val="595A5C"/>
            </a:solidFill>
            <a:ln w="6350">
              <a:solidFill>
                <a:sysClr val="windowText" lastClr="000000"/>
              </a:solidFill>
            </a:ln>
          </c:spPr>
          <c:invertIfNegative val="0"/>
          <c:cat>
            <c:strRef>
              <c:f>'Jurisdiction by industry'!$A$70:$A$80</c:f>
              <c:strCache>
                <c:ptCount val="11"/>
                <c:pt idx="0">
                  <c:v>ACT Private</c:v>
                </c:pt>
                <c:pt idx="1">
                  <c:v>NSW</c:v>
                </c:pt>
                <c:pt idx="2">
                  <c:v>Comcare</c:v>
                </c:pt>
                <c:pt idx="3">
                  <c:v>SA</c:v>
                </c:pt>
                <c:pt idx="4">
                  <c:v>Vic</c:v>
                </c:pt>
                <c:pt idx="5">
                  <c:v>WA</c:v>
                </c:pt>
                <c:pt idx="6">
                  <c:v>Tas</c:v>
                </c:pt>
                <c:pt idx="7">
                  <c:v>Qld</c:v>
                </c:pt>
                <c:pt idx="8">
                  <c:v>NT</c:v>
                </c:pt>
                <c:pt idx="9">
                  <c:v>Aus Av</c:v>
                </c:pt>
                <c:pt idx="10">
                  <c:v>NZ</c:v>
                </c:pt>
              </c:strCache>
            </c:strRef>
          </c:cat>
          <c:val>
            <c:numRef>
              <c:f>'Jurisdiction by industry'!$E$70:$E$80</c:f>
              <c:numCache>
                <c:formatCode>0.00</c:formatCode>
                <c:ptCount val="11"/>
                <c:pt idx="0">
                  <c:v>3.0473135918108021</c:v>
                </c:pt>
                <c:pt idx="1">
                  <c:v>1.8666124889701226</c:v>
                </c:pt>
                <c:pt idx="2">
                  <c:v>1.6335672857926162</c:v>
                </c:pt>
                <c:pt idx="3">
                  <c:v>1.1086123630223912</c:v>
                </c:pt>
                <c:pt idx="4">
                  <c:v>1.2357788351990069</c:v>
                </c:pt>
                <c:pt idx="5">
                  <c:v>0.76905337540443286</c:v>
                </c:pt>
                <c:pt idx="6">
                  <c:v>0.84930399860392025</c:v>
                </c:pt>
                <c:pt idx="7">
                  <c:v>0.84249107044449889</c:v>
                </c:pt>
                <c:pt idx="8">
                  <c:v>0.66879058104699962</c:v>
                </c:pt>
                <c:pt idx="9">
                  <c:v>1.281649308172172</c:v>
                </c:pt>
                <c:pt idx="10">
                  <c:v>0.62018507837757553</c:v>
                </c:pt>
              </c:numCache>
            </c:numRef>
          </c:val>
          <c:extLst>
            <c:ext xmlns:c16="http://schemas.microsoft.com/office/drawing/2014/chart" uri="{C3380CC4-5D6E-409C-BE32-E72D297353CC}">
              <c16:uniqueId val="{00000002-7407-46E7-B299-88A7F2B70AA0}"/>
            </c:ext>
          </c:extLst>
        </c:ser>
        <c:ser>
          <c:idx val="2"/>
          <c:order val="3"/>
          <c:tx>
            <c:strRef>
              <c:f>'Jurisdiction by industry'!$F$69</c:f>
              <c:strCache>
                <c:ptCount val="1"/>
                <c:pt idx="0">
                  <c:v>2020-21</c:v>
                </c:pt>
              </c:strCache>
            </c:strRef>
          </c:tx>
          <c:spPr>
            <a:solidFill>
              <a:srgbClr val="3C3C3E"/>
            </a:solidFill>
            <a:ln w="6350">
              <a:solidFill>
                <a:sysClr val="windowText" lastClr="000000"/>
              </a:solidFill>
            </a:ln>
          </c:spPr>
          <c:invertIfNegative val="0"/>
          <c:cat>
            <c:strRef>
              <c:f>'Jurisdiction by industry'!$A$70:$A$80</c:f>
              <c:strCache>
                <c:ptCount val="11"/>
                <c:pt idx="0">
                  <c:v>ACT Private</c:v>
                </c:pt>
                <c:pt idx="1">
                  <c:v>NSW</c:v>
                </c:pt>
                <c:pt idx="2">
                  <c:v>Comcare</c:v>
                </c:pt>
                <c:pt idx="3">
                  <c:v>SA</c:v>
                </c:pt>
                <c:pt idx="4">
                  <c:v>Vic</c:v>
                </c:pt>
                <c:pt idx="5">
                  <c:v>WA</c:v>
                </c:pt>
                <c:pt idx="6">
                  <c:v>Tas</c:v>
                </c:pt>
                <c:pt idx="7">
                  <c:v>Qld</c:v>
                </c:pt>
                <c:pt idx="8">
                  <c:v>NT</c:v>
                </c:pt>
                <c:pt idx="9">
                  <c:v>Aus Av</c:v>
                </c:pt>
                <c:pt idx="10">
                  <c:v>NZ</c:v>
                </c:pt>
              </c:strCache>
            </c:strRef>
          </c:cat>
          <c:val>
            <c:numRef>
              <c:f>'Jurisdiction by industry'!$F$70:$F$80</c:f>
              <c:numCache>
                <c:formatCode>0.00</c:formatCode>
                <c:ptCount val="11"/>
                <c:pt idx="0">
                  <c:v>3.2150331786128326</c:v>
                </c:pt>
                <c:pt idx="1">
                  <c:v>1.9918122207367785</c:v>
                </c:pt>
                <c:pt idx="2">
                  <c:v>1.2470540524830223</c:v>
                </c:pt>
                <c:pt idx="3">
                  <c:v>1.1799188988549068</c:v>
                </c:pt>
                <c:pt idx="4">
                  <c:v>1.2452779700091841</c:v>
                </c:pt>
                <c:pt idx="5">
                  <c:v>0.79280878303060365</c:v>
                </c:pt>
                <c:pt idx="6">
                  <c:v>0.92455013028882371</c:v>
                </c:pt>
                <c:pt idx="7">
                  <c:v>0.73986689756330115</c:v>
                </c:pt>
                <c:pt idx="8">
                  <c:v>0.62643708282887678</c:v>
                </c:pt>
                <c:pt idx="9">
                  <c:v>1.2720283954098248</c:v>
                </c:pt>
                <c:pt idx="10">
                  <c:v>0.60187243534979262</c:v>
                </c:pt>
              </c:numCache>
            </c:numRef>
          </c:val>
          <c:extLst>
            <c:ext xmlns:c16="http://schemas.microsoft.com/office/drawing/2014/chart" uri="{C3380CC4-5D6E-409C-BE32-E72D297353CC}">
              <c16:uniqueId val="{00000003-7407-46E7-B299-88A7F2B70AA0}"/>
            </c:ext>
          </c:extLst>
        </c:ser>
        <c:ser>
          <c:idx val="3"/>
          <c:order val="4"/>
          <c:tx>
            <c:strRef>
              <c:f>'Jurisdiction by industry'!$G$69</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industry'!$A$70:$A$80</c:f>
              <c:strCache>
                <c:ptCount val="11"/>
                <c:pt idx="0">
                  <c:v>ACT Private</c:v>
                </c:pt>
                <c:pt idx="1">
                  <c:v>NSW</c:v>
                </c:pt>
                <c:pt idx="2">
                  <c:v>Comcare</c:v>
                </c:pt>
                <c:pt idx="3">
                  <c:v>SA</c:v>
                </c:pt>
                <c:pt idx="4">
                  <c:v>Vic</c:v>
                </c:pt>
                <c:pt idx="5">
                  <c:v>WA</c:v>
                </c:pt>
                <c:pt idx="6">
                  <c:v>Tas</c:v>
                </c:pt>
                <c:pt idx="7">
                  <c:v>Qld</c:v>
                </c:pt>
                <c:pt idx="8">
                  <c:v>NT</c:v>
                </c:pt>
                <c:pt idx="9">
                  <c:v>Aus Av</c:v>
                </c:pt>
                <c:pt idx="10">
                  <c:v>NZ</c:v>
                </c:pt>
              </c:strCache>
            </c:strRef>
          </c:cat>
          <c:val>
            <c:numRef>
              <c:f>'Jurisdiction by industry'!$G$70:$G$80</c:f>
              <c:numCache>
                <c:formatCode>0.00</c:formatCode>
                <c:ptCount val="11"/>
                <c:pt idx="0">
                  <c:v>3.811318375196632</c:v>
                </c:pt>
                <c:pt idx="1">
                  <c:v>1.9144906800944927</c:v>
                </c:pt>
                <c:pt idx="2">
                  <c:v>1.478069280822913</c:v>
                </c:pt>
                <c:pt idx="3">
                  <c:v>1.1746262353965371</c:v>
                </c:pt>
                <c:pt idx="4">
                  <c:v>1.1489434226041364</c:v>
                </c:pt>
                <c:pt idx="5">
                  <c:v>0.86017824596958636</c:v>
                </c:pt>
                <c:pt idx="6">
                  <c:v>0.83519827180108031</c:v>
                </c:pt>
                <c:pt idx="7">
                  <c:v>0.73459450077908417</c:v>
                </c:pt>
                <c:pt idx="8">
                  <c:v>0.61310131937053391</c:v>
                </c:pt>
                <c:pt idx="9">
                  <c:v>1.252107036352553</c:v>
                </c:pt>
                <c:pt idx="10">
                  <c:v>0.59393490492358814</c:v>
                </c:pt>
              </c:numCache>
            </c:numRef>
          </c:val>
          <c:extLst>
            <c:ext xmlns:c16="http://schemas.microsoft.com/office/drawing/2014/chart" uri="{C3380CC4-5D6E-409C-BE32-E72D297353CC}">
              <c16:uniqueId val="{00000004-7407-46E7-B299-88A7F2B70AA0}"/>
            </c:ext>
          </c:extLst>
        </c:ser>
        <c:dLbls>
          <c:showLegendKey val="0"/>
          <c:showVal val="0"/>
          <c:showCatName val="0"/>
          <c:showSerName val="0"/>
          <c:showPercent val="0"/>
          <c:showBubbleSize val="0"/>
        </c:dLbls>
        <c:gapWidth val="150"/>
        <c:axId val="220977024"/>
        <c:axId val="220978560"/>
      </c:barChart>
      <c:lineChart>
        <c:grouping val="standard"/>
        <c:varyColors val="0"/>
        <c:ser>
          <c:idx val="4"/>
          <c:order val="5"/>
          <c:tx>
            <c:strRef>
              <c:f>'Jurisdiction by industry'!$H$68</c:f>
              <c:strCache>
                <c:ptCount val="1"/>
                <c:pt idx="0">
                  <c:v>2021-22 Aus av</c:v>
                </c:pt>
              </c:strCache>
            </c:strRef>
          </c:tx>
          <c:spPr>
            <a:ln>
              <a:solidFill>
                <a:srgbClr val="C10A27"/>
              </a:solidFill>
            </a:ln>
          </c:spPr>
          <c:marker>
            <c:symbol val="none"/>
          </c:marker>
          <c:val>
            <c:numRef>
              <c:f>'Jurisdiction by industry'!$H$70:$H$80</c:f>
              <c:numCache>
                <c:formatCode>0.00</c:formatCode>
                <c:ptCount val="11"/>
                <c:pt idx="0">
                  <c:v>1.252107036352553</c:v>
                </c:pt>
                <c:pt idx="1">
                  <c:v>1.252107036352553</c:v>
                </c:pt>
                <c:pt idx="2">
                  <c:v>1.252107036352553</c:v>
                </c:pt>
                <c:pt idx="3">
                  <c:v>1.252107036352553</c:v>
                </c:pt>
                <c:pt idx="4">
                  <c:v>1.252107036352553</c:v>
                </c:pt>
                <c:pt idx="5">
                  <c:v>1.252107036352553</c:v>
                </c:pt>
                <c:pt idx="6">
                  <c:v>1.252107036352553</c:v>
                </c:pt>
                <c:pt idx="7">
                  <c:v>1.252107036352553</c:v>
                </c:pt>
                <c:pt idx="8">
                  <c:v>1.252107036352553</c:v>
                </c:pt>
              </c:numCache>
            </c:numRef>
          </c:val>
          <c:smooth val="0"/>
          <c:extLst>
            <c:ext xmlns:c16="http://schemas.microsoft.com/office/drawing/2014/chart" uri="{C3380CC4-5D6E-409C-BE32-E72D297353CC}">
              <c16:uniqueId val="{00000005-7407-46E7-B299-88A7F2B70AA0}"/>
            </c:ext>
          </c:extLst>
        </c:ser>
        <c:dLbls>
          <c:showLegendKey val="0"/>
          <c:showVal val="0"/>
          <c:showCatName val="0"/>
          <c:showSerName val="0"/>
          <c:showPercent val="0"/>
          <c:showBubbleSize val="0"/>
        </c:dLbls>
        <c:marker val="1"/>
        <c:smooth val="0"/>
        <c:axId val="220977024"/>
        <c:axId val="220978560"/>
      </c:lineChart>
      <c:catAx>
        <c:axId val="220977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978560"/>
        <c:crosses val="autoZero"/>
        <c:auto val="1"/>
        <c:lblAlgn val="ctr"/>
        <c:lblOffset val="100"/>
        <c:tickMarkSkip val="1"/>
        <c:noMultiLvlLbl val="0"/>
      </c:catAx>
      <c:valAx>
        <c:axId val="220978560"/>
        <c:scaling>
          <c:orientation val="minMax"/>
          <c:max val="4"/>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9.0900646675514118E-2"/>
              <c:y val="0.2110134871878282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977024"/>
        <c:crosses val="autoZero"/>
        <c:crossBetween val="between"/>
        <c:majorUnit val="1"/>
      </c:valAx>
      <c:dTable>
        <c:showHorzBorder val="0"/>
        <c:showVertBorder val="0"/>
        <c:showOutline val="0"/>
        <c:showKeys val="1"/>
        <c:txPr>
          <a:bodyPr/>
          <a:lstStyle/>
          <a:p>
            <a:pPr rtl="0">
              <a:defRPr sz="800"/>
            </a:pPr>
            <a:endParaRPr lang="en-US"/>
          </a:p>
        </c:txPr>
      </c:dTable>
      <c:spPr>
        <a:noFill/>
        <a:ln w="3175">
          <a:solidFill>
            <a:srgbClr val="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33834941138037"/>
          <c:y val="4.1583147713561044E-2"/>
          <c:w val="0.79800177186053634"/>
          <c:h val="0.54964409759809774"/>
        </c:manualLayout>
      </c:layout>
      <c:barChart>
        <c:barDir val="col"/>
        <c:grouping val="clustered"/>
        <c:varyColors val="0"/>
        <c:ser>
          <c:idx val="6"/>
          <c:order val="0"/>
          <c:tx>
            <c:strRef>
              <c:f>'Jurisdiction by industry'!$C$88</c:f>
              <c:strCache>
                <c:ptCount val="1"/>
                <c:pt idx="0">
                  <c:v>2017-18</c:v>
                </c:pt>
              </c:strCache>
            </c:strRef>
          </c:tx>
          <c:spPr>
            <a:solidFill>
              <a:srgbClr val="D9D9D9"/>
            </a:solidFill>
            <a:ln w="6350">
              <a:solidFill>
                <a:srgbClr val="000000"/>
              </a:solidFill>
            </a:ln>
          </c:spPr>
          <c:invertIfNegative val="0"/>
          <c:cat>
            <c:strRef>
              <c:f>'Jurisdiction by industry'!$A$89:$A$99</c:f>
              <c:strCache>
                <c:ptCount val="11"/>
                <c:pt idx="0">
                  <c:v>ACT Private</c:v>
                </c:pt>
                <c:pt idx="1">
                  <c:v>NSW</c:v>
                </c:pt>
                <c:pt idx="2">
                  <c:v>NT</c:v>
                </c:pt>
                <c:pt idx="3">
                  <c:v>Tas</c:v>
                </c:pt>
                <c:pt idx="4">
                  <c:v>SA</c:v>
                </c:pt>
                <c:pt idx="5">
                  <c:v>WA</c:v>
                </c:pt>
                <c:pt idx="6">
                  <c:v>Vic</c:v>
                </c:pt>
                <c:pt idx="7">
                  <c:v>Qld</c:v>
                </c:pt>
                <c:pt idx="8">
                  <c:v>Comcare</c:v>
                </c:pt>
                <c:pt idx="9">
                  <c:v>Aus Av</c:v>
                </c:pt>
                <c:pt idx="10">
                  <c:v>NZ</c:v>
                </c:pt>
              </c:strCache>
            </c:strRef>
          </c:cat>
          <c:val>
            <c:numRef>
              <c:f>'Jurisdiction by industry'!$C$89:$C$99</c:f>
              <c:numCache>
                <c:formatCode>0.00</c:formatCode>
                <c:ptCount val="11"/>
                <c:pt idx="0">
                  <c:v>4.1503353959256124</c:v>
                </c:pt>
                <c:pt idx="1">
                  <c:v>2.6428206830883978</c:v>
                </c:pt>
                <c:pt idx="2">
                  <c:v>1.6746877181056916</c:v>
                </c:pt>
                <c:pt idx="3">
                  <c:v>2.374775753227786</c:v>
                </c:pt>
                <c:pt idx="4">
                  <c:v>2.5914371746551907</c:v>
                </c:pt>
                <c:pt idx="5">
                  <c:v>1.4405530650303537</c:v>
                </c:pt>
                <c:pt idx="6">
                  <c:v>2.0421576482109698</c:v>
                </c:pt>
                <c:pt idx="7">
                  <c:v>1.8355519532139966</c:v>
                </c:pt>
                <c:pt idx="8">
                  <c:v>9.4040301207070465E-2</c:v>
                </c:pt>
                <c:pt idx="9">
                  <c:v>2.1421881068911386</c:v>
                </c:pt>
                <c:pt idx="10">
                  <c:v>1.3199238180730259</c:v>
                </c:pt>
              </c:numCache>
            </c:numRef>
          </c:val>
          <c:extLst>
            <c:ext xmlns:c16="http://schemas.microsoft.com/office/drawing/2014/chart" uri="{C3380CC4-5D6E-409C-BE32-E72D297353CC}">
              <c16:uniqueId val="{00000000-5B0C-4421-99E7-7219227F1BEE}"/>
            </c:ext>
          </c:extLst>
        </c:ser>
        <c:ser>
          <c:idx val="0"/>
          <c:order val="1"/>
          <c:tx>
            <c:strRef>
              <c:f>'Jurisdiction by industry'!$D$88</c:f>
              <c:strCache>
                <c:ptCount val="1"/>
                <c:pt idx="0">
                  <c:v>2018-19</c:v>
                </c:pt>
              </c:strCache>
            </c:strRef>
          </c:tx>
          <c:spPr>
            <a:solidFill>
              <a:srgbClr val="A6A6A6"/>
            </a:solidFill>
            <a:ln w="6350">
              <a:solidFill>
                <a:srgbClr val="000000"/>
              </a:solidFill>
            </a:ln>
          </c:spPr>
          <c:invertIfNegative val="0"/>
          <c:cat>
            <c:strRef>
              <c:f>'Jurisdiction by industry'!$A$89:$A$99</c:f>
              <c:strCache>
                <c:ptCount val="11"/>
                <c:pt idx="0">
                  <c:v>ACT Private</c:v>
                </c:pt>
                <c:pt idx="1">
                  <c:v>NSW</c:v>
                </c:pt>
                <c:pt idx="2">
                  <c:v>NT</c:v>
                </c:pt>
                <c:pt idx="3">
                  <c:v>Tas</c:v>
                </c:pt>
                <c:pt idx="4">
                  <c:v>SA</c:v>
                </c:pt>
                <c:pt idx="5">
                  <c:v>WA</c:v>
                </c:pt>
                <c:pt idx="6">
                  <c:v>Vic</c:v>
                </c:pt>
                <c:pt idx="7">
                  <c:v>Qld</c:v>
                </c:pt>
                <c:pt idx="8">
                  <c:v>Comcare</c:v>
                </c:pt>
                <c:pt idx="9">
                  <c:v>Aus Av</c:v>
                </c:pt>
                <c:pt idx="10">
                  <c:v>NZ</c:v>
                </c:pt>
              </c:strCache>
            </c:strRef>
          </c:cat>
          <c:val>
            <c:numRef>
              <c:f>'Jurisdiction by industry'!$D$89:$D$99</c:f>
              <c:numCache>
                <c:formatCode>0.00</c:formatCode>
                <c:ptCount val="11"/>
                <c:pt idx="0">
                  <c:v>4.0879352156555377</c:v>
                </c:pt>
                <c:pt idx="1">
                  <c:v>2.7347660975479768</c:v>
                </c:pt>
                <c:pt idx="2">
                  <c:v>2.1502254663089455</c:v>
                </c:pt>
                <c:pt idx="3">
                  <c:v>2.4221064747036918</c:v>
                </c:pt>
                <c:pt idx="4">
                  <c:v>2.4351871973250718</c:v>
                </c:pt>
                <c:pt idx="5">
                  <c:v>1.6728911274330238</c:v>
                </c:pt>
                <c:pt idx="6">
                  <c:v>1.9718796527347375</c:v>
                </c:pt>
                <c:pt idx="7">
                  <c:v>1.7618740955814636</c:v>
                </c:pt>
                <c:pt idx="8">
                  <c:v>6.637642668551838E-2</c:v>
                </c:pt>
                <c:pt idx="9">
                  <c:v>2.1692242238321868</c:v>
                </c:pt>
                <c:pt idx="10">
                  <c:v>1.3273730516026043</c:v>
                </c:pt>
              </c:numCache>
            </c:numRef>
          </c:val>
          <c:extLst>
            <c:ext xmlns:c16="http://schemas.microsoft.com/office/drawing/2014/chart" uri="{C3380CC4-5D6E-409C-BE32-E72D297353CC}">
              <c16:uniqueId val="{00000001-5B0C-4421-99E7-7219227F1BEE}"/>
            </c:ext>
          </c:extLst>
        </c:ser>
        <c:ser>
          <c:idx val="1"/>
          <c:order val="2"/>
          <c:tx>
            <c:strRef>
              <c:f>'Jurisdiction by industry'!$E$88</c:f>
              <c:strCache>
                <c:ptCount val="1"/>
                <c:pt idx="0">
                  <c:v>2019-20</c:v>
                </c:pt>
              </c:strCache>
            </c:strRef>
          </c:tx>
          <c:spPr>
            <a:solidFill>
              <a:srgbClr val="595A5C"/>
            </a:solidFill>
            <a:ln w="6350">
              <a:solidFill>
                <a:srgbClr val="000000"/>
              </a:solidFill>
            </a:ln>
          </c:spPr>
          <c:invertIfNegative val="0"/>
          <c:cat>
            <c:strRef>
              <c:f>'Jurisdiction by industry'!$A$89:$A$99</c:f>
              <c:strCache>
                <c:ptCount val="11"/>
                <c:pt idx="0">
                  <c:v>ACT Private</c:v>
                </c:pt>
                <c:pt idx="1">
                  <c:v>NSW</c:v>
                </c:pt>
                <c:pt idx="2">
                  <c:v>NT</c:v>
                </c:pt>
                <c:pt idx="3">
                  <c:v>Tas</c:v>
                </c:pt>
                <c:pt idx="4">
                  <c:v>SA</c:v>
                </c:pt>
                <c:pt idx="5">
                  <c:v>WA</c:v>
                </c:pt>
                <c:pt idx="6">
                  <c:v>Vic</c:v>
                </c:pt>
                <c:pt idx="7">
                  <c:v>Qld</c:v>
                </c:pt>
                <c:pt idx="8">
                  <c:v>Comcare</c:v>
                </c:pt>
                <c:pt idx="9">
                  <c:v>Aus Av</c:v>
                </c:pt>
                <c:pt idx="10">
                  <c:v>NZ</c:v>
                </c:pt>
              </c:strCache>
            </c:strRef>
          </c:cat>
          <c:val>
            <c:numRef>
              <c:f>'Jurisdiction by industry'!$E$89:$E$99</c:f>
              <c:numCache>
                <c:formatCode>0.00</c:formatCode>
                <c:ptCount val="11"/>
                <c:pt idx="0">
                  <c:v>4.0426565326654149</c:v>
                </c:pt>
                <c:pt idx="1">
                  <c:v>2.8169340597709032</c:v>
                </c:pt>
                <c:pt idx="2">
                  <c:v>2.3928662362968796</c:v>
                </c:pt>
                <c:pt idx="3">
                  <c:v>2.3013801502483808</c:v>
                </c:pt>
                <c:pt idx="4">
                  <c:v>2.4598320929447</c:v>
                </c:pt>
                <c:pt idx="5">
                  <c:v>1.7505492288847271</c:v>
                </c:pt>
                <c:pt idx="6">
                  <c:v>1.9707069791562764</c:v>
                </c:pt>
                <c:pt idx="7">
                  <c:v>1.7398547753433815</c:v>
                </c:pt>
                <c:pt idx="8">
                  <c:v>0.30287457829815373</c:v>
                </c:pt>
                <c:pt idx="9">
                  <c:v>2.203570588463903</c:v>
                </c:pt>
                <c:pt idx="10">
                  <c:v>1.2618217051838629</c:v>
                </c:pt>
              </c:numCache>
            </c:numRef>
          </c:val>
          <c:extLst>
            <c:ext xmlns:c16="http://schemas.microsoft.com/office/drawing/2014/chart" uri="{C3380CC4-5D6E-409C-BE32-E72D297353CC}">
              <c16:uniqueId val="{00000002-5B0C-4421-99E7-7219227F1BEE}"/>
            </c:ext>
          </c:extLst>
        </c:ser>
        <c:ser>
          <c:idx val="2"/>
          <c:order val="3"/>
          <c:tx>
            <c:strRef>
              <c:f>'Jurisdiction by industry'!$F$88</c:f>
              <c:strCache>
                <c:ptCount val="1"/>
                <c:pt idx="0">
                  <c:v>2020-21</c:v>
                </c:pt>
              </c:strCache>
            </c:strRef>
          </c:tx>
          <c:spPr>
            <a:solidFill>
              <a:srgbClr val="3C3C3E"/>
            </a:solidFill>
            <a:ln w="6350">
              <a:solidFill>
                <a:srgbClr val="000000"/>
              </a:solidFill>
            </a:ln>
          </c:spPr>
          <c:invertIfNegative val="0"/>
          <c:cat>
            <c:strRef>
              <c:f>'Jurisdiction by industry'!$A$89:$A$99</c:f>
              <c:strCache>
                <c:ptCount val="11"/>
                <c:pt idx="0">
                  <c:v>ACT Private</c:v>
                </c:pt>
                <c:pt idx="1">
                  <c:v>NSW</c:v>
                </c:pt>
                <c:pt idx="2">
                  <c:v>NT</c:v>
                </c:pt>
                <c:pt idx="3">
                  <c:v>Tas</c:v>
                </c:pt>
                <c:pt idx="4">
                  <c:v>SA</c:v>
                </c:pt>
                <c:pt idx="5">
                  <c:v>WA</c:v>
                </c:pt>
                <c:pt idx="6">
                  <c:v>Vic</c:v>
                </c:pt>
                <c:pt idx="7">
                  <c:v>Qld</c:v>
                </c:pt>
                <c:pt idx="8">
                  <c:v>Comcare</c:v>
                </c:pt>
                <c:pt idx="9">
                  <c:v>Aus Av</c:v>
                </c:pt>
                <c:pt idx="10">
                  <c:v>NZ</c:v>
                </c:pt>
              </c:strCache>
            </c:strRef>
          </c:cat>
          <c:val>
            <c:numRef>
              <c:f>'Jurisdiction by industry'!$F$89:$F$99</c:f>
              <c:numCache>
                <c:formatCode>0.00</c:formatCode>
                <c:ptCount val="11"/>
                <c:pt idx="0">
                  <c:v>4.1651678540077102</c:v>
                </c:pt>
                <c:pt idx="1">
                  <c:v>2.9248592878805701</c:v>
                </c:pt>
                <c:pt idx="2">
                  <c:v>2.4722634525869815</c:v>
                </c:pt>
                <c:pt idx="3">
                  <c:v>2.3589061528913282</c:v>
                </c:pt>
                <c:pt idx="4">
                  <c:v>2.3667390973573341</c:v>
                </c:pt>
                <c:pt idx="5">
                  <c:v>1.9296316386534396</c:v>
                </c:pt>
                <c:pt idx="6">
                  <c:v>1.944142393759098</c:v>
                </c:pt>
                <c:pt idx="7">
                  <c:v>1.7628327799639525</c:v>
                </c:pt>
                <c:pt idx="8">
                  <c:v>0.4600478457572641</c:v>
                </c:pt>
                <c:pt idx="9">
                  <c:v>2.2497218804367929</c:v>
                </c:pt>
                <c:pt idx="10">
                  <c:v>1.2460930412007993</c:v>
                </c:pt>
              </c:numCache>
            </c:numRef>
          </c:val>
          <c:extLst>
            <c:ext xmlns:c16="http://schemas.microsoft.com/office/drawing/2014/chart" uri="{C3380CC4-5D6E-409C-BE32-E72D297353CC}">
              <c16:uniqueId val="{00000003-5B0C-4421-99E7-7219227F1BEE}"/>
            </c:ext>
          </c:extLst>
        </c:ser>
        <c:ser>
          <c:idx val="3"/>
          <c:order val="4"/>
          <c:tx>
            <c:strRef>
              <c:f>'Jurisdiction by industry'!$G$88</c:f>
              <c:strCache>
                <c:ptCount val="1"/>
                <c:pt idx="0">
                  <c:v>2021-22</c:v>
                </c:pt>
              </c:strCache>
            </c:strRef>
          </c:tx>
          <c:spPr>
            <a:solidFill>
              <a:srgbClr val="C10A27"/>
            </a:solidFill>
            <a:ln w="6350">
              <a:solidFill>
                <a:srgbClr val="000000"/>
              </a:solidFill>
              <a:prstDash val="solid"/>
            </a:ln>
          </c:spPr>
          <c:invertIfNegative val="0"/>
          <c:cat>
            <c:strRef>
              <c:f>'Jurisdiction by industry'!$A$89:$A$99</c:f>
              <c:strCache>
                <c:ptCount val="11"/>
                <c:pt idx="0">
                  <c:v>ACT Private</c:v>
                </c:pt>
                <c:pt idx="1">
                  <c:v>NSW</c:v>
                </c:pt>
                <c:pt idx="2">
                  <c:v>NT</c:v>
                </c:pt>
                <c:pt idx="3">
                  <c:v>Tas</c:v>
                </c:pt>
                <c:pt idx="4">
                  <c:v>SA</c:v>
                </c:pt>
                <c:pt idx="5">
                  <c:v>WA</c:v>
                </c:pt>
                <c:pt idx="6">
                  <c:v>Vic</c:v>
                </c:pt>
                <c:pt idx="7">
                  <c:v>Qld</c:v>
                </c:pt>
                <c:pt idx="8">
                  <c:v>Comcare</c:v>
                </c:pt>
                <c:pt idx="9">
                  <c:v>Aus Av</c:v>
                </c:pt>
                <c:pt idx="10">
                  <c:v>NZ</c:v>
                </c:pt>
              </c:strCache>
            </c:strRef>
          </c:cat>
          <c:val>
            <c:numRef>
              <c:f>'Jurisdiction by industry'!$G$89:$G$99</c:f>
              <c:numCache>
                <c:formatCode>0.00</c:formatCode>
                <c:ptCount val="11"/>
                <c:pt idx="0">
                  <c:v>4.3151131827922828</c:v>
                </c:pt>
                <c:pt idx="1">
                  <c:v>2.9894055543517251</c:v>
                </c:pt>
                <c:pt idx="2">
                  <c:v>2.6647316050129279</c:v>
                </c:pt>
                <c:pt idx="3">
                  <c:v>2.4480038035292013</c:v>
                </c:pt>
                <c:pt idx="4">
                  <c:v>2.3436893491497823</c:v>
                </c:pt>
                <c:pt idx="5">
                  <c:v>2.0391085983924917</c:v>
                </c:pt>
                <c:pt idx="6">
                  <c:v>1.9734770557260788</c:v>
                </c:pt>
                <c:pt idx="7">
                  <c:v>1.7587936864799432</c:v>
                </c:pt>
                <c:pt idx="8">
                  <c:v>0.58889540509495886</c:v>
                </c:pt>
                <c:pt idx="9">
                  <c:v>2.2878510573110931</c:v>
                </c:pt>
                <c:pt idx="10">
                  <c:v>1.2262663997161825</c:v>
                </c:pt>
              </c:numCache>
            </c:numRef>
          </c:val>
          <c:extLst>
            <c:ext xmlns:c16="http://schemas.microsoft.com/office/drawing/2014/chart" uri="{C3380CC4-5D6E-409C-BE32-E72D297353CC}">
              <c16:uniqueId val="{00000004-5B0C-4421-99E7-7219227F1BEE}"/>
            </c:ext>
          </c:extLst>
        </c:ser>
        <c:dLbls>
          <c:showLegendKey val="0"/>
          <c:showVal val="0"/>
          <c:showCatName val="0"/>
          <c:showSerName val="0"/>
          <c:showPercent val="0"/>
          <c:showBubbleSize val="0"/>
        </c:dLbls>
        <c:gapWidth val="150"/>
        <c:axId val="221247744"/>
        <c:axId val="221261824"/>
      </c:barChart>
      <c:lineChart>
        <c:grouping val="standard"/>
        <c:varyColors val="0"/>
        <c:ser>
          <c:idx val="4"/>
          <c:order val="5"/>
          <c:tx>
            <c:strRef>
              <c:f>'Jurisdiction by industry'!$H$87</c:f>
              <c:strCache>
                <c:ptCount val="1"/>
                <c:pt idx="0">
                  <c:v>2021-22 Aus av</c:v>
                </c:pt>
              </c:strCache>
            </c:strRef>
          </c:tx>
          <c:spPr>
            <a:ln>
              <a:solidFill>
                <a:srgbClr val="C10A27"/>
              </a:solidFill>
            </a:ln>
          </c:spPr>
          <c:marker>
            <c:symbol val="none"/>
          </c:marker>
          <c:val>
            <c:numRef>
              <c:f>'Jurisdiction by industry'!$H$89:$H$99</c:f>
              <c:numCache>
                <c:formatCode>0.00</c:formatCode>
                <c:ptCount val="11"/>
                <c:pt idx="0">
                  <c:v>2.2878510573110931</c:v>
                </c:pt>
                <c:pt idx="1">
                  <c:v>2.2878510573110931</c:v>
                </c:pt>
                <c:pt idx="2">
                  <c:v>2.2878510573110931</c:v>
                </c:pt>
                <c:pt idx="3">
                  <c:v>2.2878510573110931</c:v>
                </c:pt>
                <c:pt idx="4">
                  <c:v>2.2878510573110931</c:v>
                </c:pt>
                <c:pt idx="5">
                  <c:v>2.2878510573110931</c:v>
                </c:pt>
                <c:pt idx="6">
                  <c:v>2.2878510573110931</c:v>
                </c:pt>
                <c:pt idx="7">
                  <c:v>2.2878510573110931</c:v>
                </c:pt>
                <c:pt idx="8">
                  <c:v>2.2878510573110931</c:v>
                </c:pt>
              </c:numCache>
            </c:numRef>
          </c:val>
          <c:smooth val="0"/>
          <c:extLst>
            <c:ext xmlns:c16="http://schemas.microsoft.com/office/drawing/2014/chart" uri="{C3380CC4-5D6E-409C-BE32-E72D297353CC}">
              <c16:uniqueId val="{00000005-5B0C-4421-99E7-7219227F1BEE}"/>
            </c:ext>
          </c:extLst>
        </c:ser>
        <c:dLbls>
          <c:showLegendKey val="0"/>
          <c:showVal val="0"/>
          <c:showCatName val="0"/>
          <c:showSerName val="0"/>
          <c:showPercent val="0"/>
          <c:showBubbleSize val="0"/>
        </c:dLbls>
        <c:marker val="1"/>
        <c:smooth val="0"/>
        <c:axId val="221247744"/>
        <c:axId val="221261824"/>
      </c:lineChart>
      <c:catAx>
        <c:axId val="2212477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261824"/>
        <c:crosses val="autoZero"/>
        <c:auto val="1"/>
        <c:lblAlgn val="ctr"/>
        <c:lblOffset val="100"/>
        <c:tickMarkSkip val="1"/>
        <c:noMultiLvlLbl val="0"/>
      </c:catAx>
      <c:valAx>
        <c:axId val="221261824"/>
        <c:scaling>
          <c:orientation val="minMax"/>
          <c:max val="5"/>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9.6035071125853216E-2"/>
              <c:y val="0.2365190881108858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247744"/>
        <c:crosses val="autoZero"/>
        <c:crossBetween val="between"/>
        <c:majorUnit val="1"/>
      </c:valAx>
      <c:dTable>
        <c:showHorzBorder val="0"/>
        <c:showVertBorder val="0"/>
        <c:showOutline val="0"/>
        <c:showKeys val="1"/>
        <c:txPr>
          <a:bodyPr/>
          <a:lstStyle/>
          <a:p>
            <a:pPr rtl="0">
              <a:defRPr sz="800"/>
            </a:pPr>
            <a:endParaRPr lang="en-US"/>
          </a:p>
        </c:txPr>
      </c:dTable>
      <c:spPr>
        <a:noFill/>
        <a:ln w="3175">
          <a:solidFill>
            <a:srgbClr val="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66109879404353"/>
          <c:y val="2.903311800665543E-2"/>
          <c:w val="0.76360364081841159"/>
          <c:h val="0.56588479397666447"/>
        </c:manualLayout>
      </c:layout>
      <c:barChart>
        <c:barDir val="col"/>
        <c:grouping val="clustered"/>
        <c:varyColors val="0"/>
        <c:ser>
          <c:idx val="6"/>
          <c:order val="0"/>
          <c:tx>
            <c:strRef>
              <c:f>'Jurisdiction by industry'!$C$107</c:f>
              <c:strCache>
                <c:ptCount val="1"/>
                <c:pt idx="0">
                  <c:v>2017-18</c:v>
                </c:pt>
              </c:strCache>
            </c:strRef>
          </c:tx>
          <c:spPr>
            <a:solidFill>
              <a:srgbClr val="D9D9D9"/>
            </a:solidFill>
            <a:ln w="6350">
              <a:solidFill>
                <a:sysClr val="windowText" lastClr="000000"/>
              </a:solidFill>
            </a:ln>
          </c:spPr>
          <c:invertIfNegative val="0"/>
          <c:cat>
            <c:strRef>
              <c:f>('Jurisdiction by industry'!$A$108:$A$115,'Jurisdiction by industry'!$A$117:$A$118)</c:f>
              <c:strCache>
                <c:ptCount val="10"/>
                <c:pt idx="0">
                  <c:v>ACT Private</c:v>
                </c:pt>
                <c:pt idx="1">
                  <c:v>NT</c:v>
                </c:pt>
                <c:pt idx="2">
                  <c:v>Tas</c:v>
                </c:pt>
                <c:pt idx="3">
                  <c:v>WA</c:v>
                </c:pt>
                <c:pt idx="4">
                  <c:v>SA</c:v>
                </c:pt>
                <c:pt idx="5">
                  <c:v>NSW</c:v>
                </c:pt>
                <c:pt idx="6">
                  <c:v>Vic</c:v>
                </c:pt>
                <c:pt idx="7">
                  <c:v>Qld</c:v>
                </c:pt>
                <c:pt idx="8">
                  <c:v>Aus Av</c:v>
                </c:pt>
                <c:pt idx="9">
                  <c:v>NZ</c:v>
                </c:pt>
              </c:strCache>
            </c:strRef>
          </c:cat>
          <c:val>
            <c:numRef>
              <c:f>('Jurisdiction by industry'!$C$108:$C$115,'Jurisdiction by industry'!$C$117:$C$118)</c:f>
              <c:numCache>
                <c:formatCode>0.00</c:formatCode>
                <c:ptCount val="10"/>
                <c:pt idx="0">
                  <c:v>2.1997408630803612</c:v>
                </c:pt>
                <c:pt idx="1">
                  <c:v>1.7290973528255815</c:v>
                </c:pt>
                <c:pt idx="2">
                  <c:v>1.4449608020861093</c:v>
                </c:pt>
                <c:pt idx="3">
                  <c:v>1.162224904738963</c:v>
                </c:pt>
                <c:pt idx="4">
                  <c:v>1.4102225224688081</c:v>
                </c:pt>
                <c:pt idx="5">
                  <c:v>0.99522809277068225</c:v>
                </c:pt>
                <c:pt idx="6">
                  <c:v>1.0502708154310774</c:v>
                </c:pt>
                <c:pt idx="7">
                  <c:v>0.90600979833989448</c:v>
                </c:pt>
                <c:pt idx="8">
                  <c:v>1.0448334099135632</c:v>
                </c:pt>
                <c:pt idx="9">
                  <c:v>0.40319606407099801</c:v>
                </c:pt>
              </c:numCache>
            </c:numRef>
          </c:val>
          <c:extLst>
            <c:ext xmlns:c16="http://schemas.microsoft.com/office/drawing/2014/chart" uri="{C3380CC4-5D6E-409C-BE32-E72D297353CC}">
              <c16:uniqueId val="{00000000-164C-4C89-8DE2-4120924CCC50}"/>
            </c:ext>
          </c:extLst>
        </c:ser>
        <c:ser>
          <c:idx val="0"/>
          <c:order val="1"/>
          <c:tx>
            <c:strRef>
              <c:f>'Jurisdiction by industry'!$D$107</c:f>
              <c:strCache>
                <c:ptCount val="1"/>
                <c:pt idx="0">
                  <c:v>2018-19</c:v>
                </c:pt>
              </c:strCache>
            </c:strRef>
          </c:tx>
          <c:spPr>
            <a:solidFill>
              <a:srgbClr val="A6A6A6"/>
            </a:solidFill>
            <a:ln w="6350">
              <a:solidFill>
                <a:sysClr val="windowText" lastClr="000000"/>
              </a:solidFill>
            </a:ln>
          </c:spPr>
          <c:invertIfNegative val="0"/>
          <c:cat>
            <c:strRef>
              <c:f>('Jurisdiction by industry'!$A$108:$A$115,'Jurisdiction by industry'!$A$117:$A$118)</c:f>
              <c:strCache>
                <c:ptCount val="10"/>
                <c:pt idx="0">
                  <c:v>ACT Private</c:v>
                </c:pt>
                <c:pt idx="1">
                  <c:v>NT</c:v>
                </c:pt>
                <c:pt idx="2">
                  <c:v>Tas</c:v>
                </c:pt>
                <c:pt idx="3">
                  <c:v>WA</c:v>
                </c:pt>
                <c:pt idx="4">
                  <c:v>SA</c:v>
                </c:pt>
                <c:pt idx="5">
                  <c:v>NSW</c:v>
                </c:pt>
                <c:pt idx="6">
                  <c:v>Vic</c:v>
                </c:pt>
                <c:pt idx="7">
                  <c:v>Qld</c:v>
                </c:pt>
                <c:pt idx="8">
                  <c:v>Aus Av</c:v>
                </c:pt>
                <c:pt idx="9">
                  <c:v>NZ</c:v>
                </c:pt>
              </c:strCache>
            </c:strRef>
          </c:cat>
          <c:val>
            <c:numRef>
              <c:f>('Jurisdiction by industry'!$D$108:$D$115,'Jurisdiction by industry'!$D$117:$D$118)</c:f>
              <c:numCache>
                <c:formatCode>0.00</c:formatCode>
                <c:ptCount val="10"/>
                <c:pt idx="0">
                  <c:v>2.1784432733228232</c:v>
                </c:pt>
                <c:pt idx="1">
                  <c:v>1.8417733920770218</c:v>
                </c:pt>
                <c:pt idx="2">
                  <c:v>1.4577616320063163</c:v>
                </c:pt>
                <c:pt idx="3">
                  <c:v>1.2400310593551458</c:v>
                </c:pt>
                <c:pt idx="4">
                  <c:v>1.2825272190019885</c:v>
                </c:pt>
                <c:pt idx="5">
                  <c:v>1.0359749489682923</c:v>
                </c:pt>
                <c:pt idx="6">
                  <c:v>1.0403458720585297</c:v>
                </c:pt>
                <c:pt idx="7">
                  <c:v>0.91705967126276877</c:v>
                </c:pt>
                <c:pt idx="8">
                  <c:v>1.0598428582660031</c:v>
                </c:pt>
                <c:pt idx="9">
                  <c:v>0.4058231670690452</c:v>
                </c:pt>
              </c:numCache>
            </c:numRef>
          </c:val>
          <c:extLst>
            <c:ext xmlns:c16="http://schemas.microsoft.com/office/drawing/2014/chart" uri="{C3380CC4-5D6E-409C-BE32-E72D297353CC}">
              <c16:uniqueId val="{00000001-164C-4C89-8DE2-4120924CCC50}"/>
            </c:ext>
          </c:extLst>
        </c:ser>
        <c:ser>
          <c:idx val="1"/>
          <c:order val="2"/>
          <c:tx>
            <c:strRef>
              <c:f>'Jurisdiction by industry'!$E$107</c:f>
              <c:strCache>
                <c:ptCount val="1"/>
                <c:pt idx="0">
                  <c:v>2019-20</c:v>
                </c:pt>
              </c:strCache>
            </c:strRef>
          </c:tx>
          <c:spPr>
            <a:solidFill>
              <a:srgbClr val="595A5C"/>
            </a:solidFill>
            <a:ln w="6350">
              <a:solidFill>
                <a:sysClr val="windowText" lastClr="000000"/>
              </a:solidFill>
            </a:ln>
          </c:spPr>
          <c:invertIfNegative val="0"/>
          <c:cat>
            <c:strRef>
              <c:f>('Jurisdiction by industry'!$A$108:$A$115,'Jurisdiction by industry'!$A$117:$A$118)</c:f>
              <c:strCache>
                <c:ptCount val="10"/>
                <c:pt idx="0">
                  <c:v>ACT Private</c:v>
                </c:pt>
                <c:pt idx="1">
                  <c:v>NT</c:v>
                </c:pt>
                <c:pt idx="2">
                  <c:v>Tas</c:v>
                </c:pt>
                <c:pt idx="3">
                  <c:v>WA</c:v>
                </c:pt>
                <c:pt idx="4">
                  <c:v>SA</c:v>
                </c:pt>
                <c:pt idx="5">
                  <c:v>NSW</c:v>
                </c:pt>
                <c:pt idx="6">
                  <c:v>Vic</c:v>
                </c:pt>
                <c:pt idx="7">
                  <c:v>Qld</c:v>
                </c:pt>
                <c:pt idx="8">
                  <c:v>Aus Av</c:v>
                </c:pt>
                <c:pt idx="9">
                  <c:v>NZ</c:v>
                </c:pt>
              </c:strCache>
            </c:strRef>
          </c:cat>
          <c:val>
            <c:numRef>
              <c:f>('Jurisdiction by industry'!$E$108:$E$115,'Jurisdiction by industry'!$E$117:$E$118)</c:f>
              <c:numCache>
                <c:formatCode>0.00</c:formatCode>
                <c:ptCount val="10"/>
                <c:pt idx="0">
                  <c:v>2.2534441047428682</c:v>
                </c:pt>
                <c:pt idx="1">
                  <c:v>1.8381594802599814</c:v>
                </c:pt>
                <c:pt idx="2">
                  <c:v>1.3727019248041081</c:v>
                </c:pt>
                <c:pt idx="3">
                  <c:v>1.2783661073334884</c:v>
                </c:pt>
                <c:pt idx="4">
                  <c:v>1.2526601021249086</c:v>
                </c:pt>
                <c:pt idx="5">
                  <c:v>1.0747523650730011</c:v>
                </c:pt>
                <c:pt idx="6">
                  <c:v>1.0212828976897572</c:v>
                </c:pt>
                <c:pt idx="7">
                  <c:v>0.92838173795753032</c:v>
                </c:pt>
                <c:pt idx="8">
                  <c:v>1.0714829989926249</c:v>
                </c:pt>
                <c:pt idx="9">
                  <c:v>0.38905212658813965</c:v>
                </c:pt>
              </c:numCache>
            </c:numRef>
          </c:val>
          <c:extLst>
            <c:ext xmlns:c16="http://schemas.microsoft.com/office/drawing/2014/chart" uri="{C3380CC4-5D6E-409C-BE32-E72D297353CC}">
              <c16:uniqueId val="{00000002-164C-4C89-8DE2-4120924CCC50}"/>
            </c:ext>
          </c:extLst>
        </c:ser>
        <c:ser>
          <c:idx val="2"/>
          <c:order val="3"/>
          <c:tx>
            <c:strRef>
              <c:f>'Jurisdiction by industry'!$F$107</c:f>
              <c:strCache>
                <c:ptCount val="1"/>
                <c:pt idx="0">
                  <c:v>2020-21</c:v>
                </c:pt>
              </c:strCache>
            </c:strRef>
          </c:tx>
          <c:spPr>
            <a:solidFill>
              <a:srgbClr val="3C3C3E"/>
            </a:solidFill>
            <a:ln w="6350">
              <a:solidFill>
                <a:sysClr val="windowText" lastClr="000000"/>
              </a:solidFill>
            </a:ln>
          </c:spPr>
          <c:invertIfNegative val="0"/>
          <c:cat>
            <c:strRef>
              <c:f>('Jurisdiction by industry'!$A$108:$A$115,'Jurisdiction by industry'!$A$117:$A$118)</c:f>
              <c:strCache>
                <c:ptCount val="10"/>
                <c:pt idx="0">
                  <c:v>ACT Private</c:v>
                </c:pt>
                <c:pt idx="1">
                  <c:v>NT</c:v>
                </c:pt>
                <c:pt idx="2">
                  <c:v>Tas</c:v>
                </c:pt>
                <c:pt idx="3">
                  <c:v>WA</c:v>
                </c:pt>
                <c:pt idx="4">
                  <c:v>SA</c:v>
                </c:pt>
                <c:pt idx="5">
                  <c:v>NSW</c:v>
                </c:pt>
                <c:pt idx="6">
                  <c:v>Vic</c:v>
                </c:pt>
                <c:pt idx="7">
                  <c:v>Qld</c:v>
                </c:pt>
                <c:pt idx="8">
                  <c:v>Aus Av</c:v>
                </c:pt>
                <c:pt idx="9">
                  <c:v>NZ</c:v>
                </c:pt>
              </c:strCache>
            </c:strRef>
          </c:cat>
          <c:val>
            <c:numRef>
              <c:f>('Jurisdiction by industry'!$F$108:$F$115,'Jurisdiction by industry'!$F$117:$F$118)</c:f>
              <c:numCache>
                <c:formatCode>0.00</c:formatCode>
                <c:ptCount val="10"/>
                <c:pt idx="0">
                  <c:v>2.4467721360353507</c:v>
                </c:pt>
                <c:pt idx="1">
                  <c:v>1.7753988058726835</c:v>
                </c:pt>
                <c:pt idx="2">
                  <c:v>1.4704228283538283</c:v>
                </c:pt>
                <c:pt idx="3">
                  <c:v>1.3349229658240305</c:v>
                </c:pt>
                <c:pt idx="4">
                  <c:v>1.2193548219639483</c:v>
                </c:pt>
                <c:pt idx="5">
                  <c:v>1.0989685874316251</c:v>
                </c:pt>
                <c:pt idx="6">
                  <c:v>0.99793891847508742</c:v>
                </c:pt>
                <c:pt idx="7">
                  <c:v>0.93012065995550652</c:v>
                </c:pt>
                <c:pt idx="8">
                  <c:v>1.0798603645749856</c:v>
                </c:pt>
                <c:pt idx="9">
                  <c:v>0.37981669263478285</c:v>
                </c:pt>
              </c:numCache>
            </c:numRef>
          </c:val>
          <c:extLst>
            <c:ext xmlns:c16="http://schemas.microsoft.com/office/drawing/2014/chart" uri="{C3380CC4-5D6E-409C-BE32-E72D297353CC}">
              <c16:uniqueId val="{00000003-164C-4C89-8DE2-4120924CCC50}"/>
            </c:ext>
          </c:extLst>
        </c:ser>
        <c:ser>
          <c:idx val="3"/>
          <c:order val="4"/>
          <c:tx>
            <c:strRef>
              <c:f>'Jurisdiction by industry'!$G$107</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industry'!$A$108:$A$115,'Jurisdiction by industry'!$A$117:$A$118)</c:f>
              <c:strCache>
                <c:ptCount val="10"/>
                <c:pt idx="0">
                  <c:v>ACT Private</c:v>
                </c:pt>
                <c:pt idx="1">
                  <c:v>NT</c:v>
                </c:pt>
                <c:pt idx="2">
                  <c:v>Tas</c:v>
                </c:pt>
                <c:pt idx="3">
                  <c:v>WA</c:v>
                </c:pt>
                <c:pt idx="4">
                  <c:v>SA</c:v>
                </c:pt>
                <c:pt idx="5">
                  <c:v>NSW</c:v>
                </c:pt>
                <c:pt idx="6">
                  <c:v>Vic</c:v>
                </c:pt>
                <c:pt idx="7">
                  <c:v>Qld</c:v>
                </c:pt>
                <c:pt idx="8">
                  <c:v>Aus Av</c:v>
                </c:pt>
                <c:pt idx="9">
                  <c:v>NZ</c:v>
                </c:pt>
              </c:strCache>
            </c:strRef>
          </c:cat>
          <c:val>
            <c:numRef>
              <c:f>('Jurisdiction by industry'!$G$108:$G$115,'Jurisdiction by industry'!$G$117:$G$118)</c:f>
              <c:numCache>
                <c:formatCode>0.00</c:formatCode>
                <c:ptCount val="10"/>
                <c:pt idx="0">
                  <c:v>2.3729082291018111</c:v>
                </c:pt>
                <c:pt idx="1">
                  <c:v>1.8366656097228433</c:v>
                </c:pt>
                <c:pt idx="2">
                  <c:v>1.4828948100869803</c:v>
                </c:pt>
                <c:pt idx="3">
                  <c:v>1.395401476997677</c:v>
                </c:pt>
                <c:pt idx="4">
                  <c:v>1.2159780964653897</c:v>
                </c:pt>
                <c:pt idx="5">
                  <c:v>1.1155737220113568</c:v>
                </c:pt>
                <c:pt idx="6">
                  <c:v>0.98372914958679258</c:v>
                </c:pt>
                <c:pt idx="7">
                  <c:v>0.93472097447757063</c:v>
                </c:pt>
                <c:pt idx="8">
                  <c:v>1.0868814551811643</c:v>
                </c:pt>
                <c:pt idx="9">
                  <c:v>0.37846153666892612</c:v>
                </c:pt>
              </c:numCache>
            </c:numRef>
          </c:val>
          <c:extLst>
            <c:ext xmlns:c16="http://schemas.microsoft.com/office/drawing/2014/chart" uri="{C3380CC4-5D6E-409C-BE32-E72D297353CC}">
              <c16:uniqueId val="{00000004-164C-4C89-8DE2-4120924CCC50}"/>
            </c:ext>
          </c:extLst>
        </c:ser>
        <c:dLbls>
          <c:showLegendKey val="0"/>
          <c:showVal val="0"/>
          <c:showCatName val="0"/>
          <c:showSerName val="0"/>
          <c:showPercent val="0"/>
          <c:showBubbleSize val="0"/>
        </c:dLbls>
        <c:gapWidth val="150"/>
        <c:axId val="221325184"/>
        <c:axId val="221326720"/>
      </c:barChart>
      <c:lineChart>
        <c:grouping val="standard"/>
        <c:varyColors val="0"/>
        <c:ser>
          <c:idx val="4"/>
          <c:order val="5"/>
          <c:tx>
            <c:strRef>
              <c:f>'Jurisdiction by industry'!$H$106</c:f>
              <c:strCache>
                <c:ptCount val="1"/>
                <c:pt idx="0">
                  <c:v>2021-22 Aus av</c:v>
                </c:pt>
              </c:strCache>
            </c:strRef>
          </c:tx>
          <c:spPr>
            <a:ln>
              <a:solidFill>
                <a:srgbClr val="C10A27"/>
              </a:solidFill>
            </a:ln>
          </c:spPr>
          <c:marker>
            <c:symbol val="none"/>
          </c:marker>
          <c:val>
            <c:numRef>
              <c:f>'Jurisdiction by industry'!$H$108:$H$115</c:f>
              <c:numCache>
                <c:formatCode>0.00</c:formatCode>
                <c:ptCount val="8"/>
                <c:pt idx="0">
                  <c:v>1.0868814551811643</c:v>
                </c:pt>
                <c:pt idx="1">
                  <c:v>1.0868814551811643</c:v>
                </c:pt>
                <c:pt idx="2">
                  <c:v>1.0868814551811643</c:v>
                </c:pt>
                <c:pt idx="3">
                  <c:v>1.0868814551811643</c:v>
                </c:pt>
                <c:pt idx="4">
                  <c:v>1.0868814551811643</c:v>
                </c:pt>
                <c:pt idx="5">
                  <c:v>1.0868814551811643</c:v>
                </c:pt>
                <c:pt idx="6">
                  <c:v>1.0868814551811643</c:v>
                </c:pt>
                <c:pt idx="7">
                  <c:v>1.0868814551811643</c:v>
                </c:pt>
              </c:numCache>
            </c:numRef>
          </c:val>
          <c:smooth val="0"/>
          <c:extLst>
            <c:ext xmlns:c16="http://schemas.microsoft.com/office/drawing/2014/chart" uri="{C3380CC4-5D6E-409C-BE32-E72D297353CC}">
              <c16:uniqueId val="{00000005-164C-4C89-8DE2-4120924CCC50}"/>
            </c:ext>
          </c:extLst>
        </c:ser>
        <c:dLbls>
          <c:showLegendKey val="0"/>
          <c:showVal val="0"/>
          <c:showCatName val="0"/>
          <c:showSerName val="0"/>
          <c:showPercent val="0"/>
          <c:showBubbleSize val="0"/>
        </c:dLbls>
        <c:marker val="1"/>
        <c:smooth val="0"/>
        <c:axId val="221325184"/>
        <c:axId val="221326720"/>
      </c:lineChart>
      <c:catAx>
        <c:axId val="221325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326720"/>
        <c:crosses val="autoZero"/>
        <c:auto val="1"/>
        <c:lblAlgn val="ctr"/>
        <c:lblOffset val="100"/>
        <c:tickMarkSkip val="1"/>
        <c:noMultiLvlLbl val="0"/>
      </c:catAx>
      <c:valAx>
        <c:axId val="221326720"/>
        <c:scaling>
          <c:orientation val="minMax"/>
          <c:max val="3"/>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8.4741857172074761E-2"/>
              <c:y val="0.2192389132777126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325184"/>
        <c:crosses val="autoZero"/>
        <c:crossBetween val="between"/>
        <c:majorUnit val="0.5"/>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34249770407102"/>
          <c:y val="4.3008654116018563E-2"/>
          <c:w val="0.76347265236851247"/>
          <c:h val="0.54863308019499013"/>
        </c:manualLayout>
      </c:layout>
      <c:barChart>
        <c:barDir val="col"/>
        <c:grouping val="clustered"/>
        <c:varyColors val="0"/>
        <c:ser>
          <c:idx val="6"/>
          <c:order val="0"/>
          <c:tx>
            <c:strRef>
              <c:f>'Jurisdiction by industry'!$C$126</c:f>
              <c:strCache>
                <c:ptCount val="1"/>
                <c:pt idx="0">
                  <c:v>2017-18</c:v>
                </c:pt>
              </c:strCache>
            </c:strRef>
          </c:tx>
          <c:spPr>
            <a:solidFill>
              <a:srgbClr val="D9D9D9"/>
            </a:solidFill>
            <a:ln w="6350">
              <a:solidFill>
                <a:sysClr val="windowText" lastClr="000000"/>
              </a:solidFill>
            </a:ln>
          </c:spPr>
          <c:invertIfNegative val="0"/>
          <c:cat>
            <c:strRef>
              <c:f>('Jurisdiction by industry'!$A$127:$A$134,'Jurisdiction by industry'!$A$136:$A$137)</c:f>
              <c:strCache>
                <c:ptCount val="10"/>
                <c:pt idx="0">
                  <c:v>ACT Private</c:v>
                </c:pt>
                <c:pt idx="1">
                  <c:v>NSW</c:v>
                </c:pt>
                <c:pt idx="2">
                  <c:v>NT</c:v>
                </c:pt>
                <c:pt idx="3">
                  <c:v>WA</c:v>
                </c:pt>
                <c:pt idx="4">
                  <c:v>Tas</c:v>
                </c:pt>
                <c:pt idx="5">
                  <c:v>SA</c:v>
                </c:pt>
                <c:pt idx="6">
                  <c:v>Qld</c:v>
                </c:pt>
                <c:pt idx="7">
                  <c:v>Vic</c:v>
                </c:pt>
                <c:pt idx="8">
                  <c:v>Aus Av</c:v>
                </c:pt>
                <c:pt idx="9">
                  <c:v>NZ</c:v>
                </c:pt>
              </c:strCache>
            </c:strRef>
          </c:cat>
          <c:val>
            <c:numRef>
              <c:f>('Jurisdiction by industry'!$C$127:$C$134,'Jurisdiction by industry'!$C$136:$C$137)</c:f>
              <c:numCache>
                <c:formatCode>0.00</c:formatCode>
                <c:ptCount val="10"/>
                <c:pt idx="0">
                  <c:v>2.6025324770562022</c:v>
                </c:pt>
                <c:pt idx="1">
                  <c:v>1.8281761303376924</c:v>
                </c:pt>
                <c:pt idx="2">
                  <c:v>1.7870786404111358</c:v>
                </c:pt>
                <c:pt idx="3">
                  <c:v>1.453063777532795</c:v>
                </c:pt>
                <c:pt idx="4">
                  <c:v>1.3099187381211936</c:v>
                </c:pt>
                <c:pt idx="5">
                  <c:v>1.5141877525768339</c:v>
                </c:pt>
                <c:pt idx="6">
                  <c:v>1.262775504267339</c:v>
                </c:pt>
                <c:pt idx="7">
                  <c:v>1.388391445380279</c:v>
                </c:pt>
                <c:pt idx="8">
                  <c:v>1.5341180935063905</c:v>
                </c:pt>
                <c:pt idx="9">
                  <c:v>0.46787061256403473</c:v>
                </c:pt>
              </c:numCache>
            </c:numRef>
          </c:val>
          <c:extLst>
            <c:ext xmlns:c16="http://schemas.microsoft.com/office/drawing/2014/chart" uri="{C3380CC4-5D6E-409C-BE32-E72D297353CC}">
              <c16:uniqueId val="{00000000-EADE-4E01-A08E-A9859CEC6CE9}"/>
            </c:ext>
          </c:extLst>
        </c:ser>
        <c:ser>
          <c:idx val="0"/>
          <c:order val="1"/>
          <c:tx>
            <c:strRef>
              <c:f>'Jurisdiction by industry'!$D$126</c:f>
              <c:strCache>
                <c:ptCount val="1"/>
                <c:pt idx="0">
                  <c:v>2018-19</c:v>
                </c:pt>
              </c:strCache>
            </c:strRef>
          </c:tx>
          <c:spPr>
            <a:solidFill>
              <a:srgbClr val="A6A6A6"/>
            </a:solidFill>
            <a:ln w="6350">
              <a:solidFill>
                <a:sysClr val="windowText" lastClr="000000"/>
              </a:solidFill>
            </a:ln>
          </c:spPr>
          <c:invertIfNegative val="0"/>
          <c:cat>
            <c:strRef>
              <c:f>('Jurisdiction by industry'!$A$127:$A$134,'Jurisdiction by industry'!$A$136:$A$137)</c:f>
              <c:strCache>
                <c:ptCount val="10"/>
                <c:pt idx="0">
                  <c:v>ACT Private</c:v>
                </c:pt>
                <c:pt idx="1">
                  <c:v>NSW</c:v>
                </c:pt>
                <c:pt idx="2">
                  <c:v>NT</c:v>
                </c:pt>
                <c:pt idx="3">
                  <c:v>WA</c:v>
                </c:pt>
                <c:pt idx="4">
                  <c:v>Tas</c:v>
                </c:pt>
                <c:pt idx="5">
                  <c:v>SA</c:v>
                </c:pt>
                <c:pt idx="6">
                  <c:v>Qld</c:v>
                </c:pt>
                <c:pt idx="7">
                  <c:v>Vic</c:v>
                </c:pt>
                <c:pt idx="8">
                  <c:v>Aus Av</c:v>
                </c:pt>
                <c:pt idx="9">
                  <c:v>NZ</c:v>
                </c:pt>
              </c:strCache>
            </c:strRef>
          </c:cat>
          <c:val>
            <c:numRef>
              <c:f>('Jurisdiction by industry'!$D$127:$D$134,'Jurisdiction by industry'!$D$136:$D$137)</c:f>
              <c:numCache>
                <c:formatCode>0.00</c:formatCode>
                <c:ptCount val="10"/>
                <c:pt idx="0">
                  <c:v>2.350440256957909</c:v>
                </c:pt>
                <c:pt idx="1">
                  <c:v>1.8729778206267242</c:v>
                </c:pt>
                <c:pt idx="2">
                  <c:v>1.8933601608917943</c:v>
                </c:pt>
                <c:pt idx="3">
                  <c:v>1.5376263415605007</c:v>
                </c:pt>
                <c:pt idx="4">
                  <c:v>1.4852978536918018</c:v>
                </c:pt>
                <c:pt idx="5">
                  <c:v>1.3956607131592094</c:v>
                </c:pt>
                <c:pt idx="6">
                  <c:v>1.2393429318271532</c:v>
                </c:pt>
                <c:pt idx="7">
                  <c:v>1.3637940835119373</c:v>
                </c:pt>
                <c:pt idx="8">
                  <c:v>1.5351295881760667</c:v>
                </c:pt>
                <c:pt idx="9">
                  <c:v>0.46183792853588473</c:v>
                </c:pt>
              </c:numCache>
            </c:numRef>
          </c:val>
          <c:extLst>
            <c:ext xmlns:c16="http://schemas.microsoft.com/office/drawing/2014/chart" uri="{C3380CC4-5D6E-409C-BE32-E72D297353CC}">
              <c16:uniqueId val="{00000001-EADE-4E01-A08E-A9859CEC6CE9}"/>
            </c:ext>
          </c:extLst>
        </c:ser>
        <c:ser>
          <c:idx val="1"/>
          <c:order val="2"/>
          <c:tx>
            <c:strRef>
              <c:f>'Jurisdiction by industry'!$E$126</c:f>
              <c:strCache>
                <c:ptCount val="1"/>
                <c:pt idx="0">
                  <c:v>2019-20</c:v>
                </c:pt>
              </c:strCache>
            </c:strRef>
          </c:tx>
          <c:spPr>
            <a:solidFill>
              <a:srgbClr val="595A5C"/>
            </a:solidFill>
            <a:ln w="6350">
              <a:solidFill>
                <a:sysClr val="windowText" lastClr="000000"/>
              </a:solidFill>
            </a:ln>
          </c:spPr>
          <c:invertIfNegative val="0"/>
          <c:cat>
            <c:strRef>
              <c:f>('Jurisdiction by industry'!$A$127:$A$134,'Jurisdiction by industry'!$A$136:$A$137)</c:f>
              <c:strCache>
                <c:ptCount val="10"/>
                <c:pt idx="0">
                  <c:v>ACT Private</c:v>
                </c:pt>
                <c:pt idx="1">
                  <c:v>NSW</c:v>
                </c:pt>
                <c:pt idx="2">
                  <c:v>NT</c:v>
                </c:pt>
                <c:pt idx="3">
                  <c:v>WA</c:v>
                </c:pt>
                <c:pt idx="4">
                  <c:v>Tas</c:v>
                </c:pt>
                <c:pt idx="5">
                  <c:v>SA</c:v>
                </c:pt>
                <c:pt idx="6">
                  <c:v>Qld</c:v>
                </c:pt>
                <c:pt idx="7">
                  <c:v>Vic</c:v>
                </c:pt>
                <c:pt idx="8">
                  <c:v>Aus Av</c:v>
                </c:pt>
                <c:pt idx="9">
                  <c:v>NZ</c:v>
                </c:pt>
              </c:strCache>
            </c:strRef>
          </c:cat>
          <c:val>
            <c:numRef>
              <c:f>('Jurisdiction by industry'!$E$127:$E$134,'Jurisdiction by industry'!$E$136:$E$137)</c:f>
              <c:numCache>
                <c:formatCode>0.00</c:formatCode>
                <c:ptCount val="10"/>
                <c:pt idx="0">
                  <c:v>2.2715586095922591</c:v>
                </c:pt>
                <c:pt idx="1">
                  <c:v>1.963218403733263</c:v>
                </c:pt>
                <c:pt idx="2">
                  <c:v>1.8360042678380695</c:v>
                </c:pt>
                <c:pt idx="3">
                  <c:v>1.6004152457958654</c:v>
                </c:pt>
                <c:pt idx="4">
                  <c:v>1.3670316753217593</c:v>
                </c:pt>
                <c:pt idx="5">
                  <c:v>1.3756694024074843</c:v>
                </c:pt>
                <c:pt idx="6">
                  <c:v>1.2377265374665922</c:v>
                </c:pt>
                <c:pt idx="7">
                  <c:v>1.3875048051893368</c:v>
                </c:pt>
                <c:pt idx="8">
                  <c:v>1.5693982467604304</c:v>
                </c:pt>
                <c:pt idx="9">
                  <c:v>0.4222141425525095</c:v>
                </c:pt>
              </c:numCache>
            </c:numRef>
          </c:val>
          <c:extLst>
            <c:ext xmlns:c16="http://schemas.microsoft.com/office/drawing/2014/chart" uri="{C3380CC4-5D6E-409C-BE32-E72D297353CC}">
              <c16:uniqueId val="{00000002-EADE-4E01-A08E-A9859CEC6CE9}"/>
            </c:ext>
          </c:extLst>
        </c:ser>
        <c:ser>
          <c:idx val="2"/>
          <c:order val="3"/>
          <c:tx>
            <c:strRef>
              <c:f>'Jurisdiction by industry'!$F$126</c:f>
              <c:strCache>
                <c:ptCount val="1"/>
                <c:pt idx="0">
                  <c:v>2020-21</c:v>
                </c:pt>
              </c:strCache>
            </c:strRef>
          </c:tx>
          <c:spPr>
            <a:solidFill>
              <a:srgbClr val="3C3C3E"/>
            </a:solidFill>
            <a:ln w="6350">
              <a:solidFill>
                <a:sysClr val="windowText" lastClr="000000"/>
              </a:solidFill>
            </a:ln>
          </c:spPr>
          <c:invertIfNegative val="0"/>
          <c:cat>
            <c:strRef>
              <c:f>('Jurisdiction by industry'!$A$127:$A$134,'Jurisdiction by industry'!$A$136:$A$137)</c:f>
              <c:strCache>
                <c:ptCount val="10"/>
                <c:pt idx="0">
                  <c:v>ACT Private</c:v>
                </c:pt>
                <c:pt idx="1">
                  <c:v>NSW</c:v>
                </c:pt>
                <c:pt idx="2">
                  <c:v>NT</c:v>
                </c:pt>
                <c:pt idx="3">
                  <c:v>WA</c:v>
                </c:pt>
                <c:pt idx="4">
                  <c:v>Tas</c:v>
                </c:pt>
                <c:pt idx="5">
                  <c:v>SA</c:v>
                </c:pt>
                <c:pt idx="6">
                  <c:v>Qld</c:v>
                </c:pt>
                <c:pt idx="7">
                  <c:v>Vic</c:v>
                </c:pt>
                <c:pt idx="8">
                  <c:v>Aus Av</c:v>
                </c:pt>
                <c:pt idx="9">
                  <c:v>NZ</c:v>
                </c:pt>
              </c:strCache>
            </c:strRef>
          </c:cat>
          <c:val>
            <c:numRef>
              <c:f>('Jurisdiction by industry'!$F$127:$F$134,'Jurisdiction by industry'!$F$136:$F$137)</c:f>
              <c:numCache>
                <c:formatCode>0.00</c:formatCode>
                <c:ptCount val="10"/>
                <c:pt idx="0">
                  <c:v>2.4723853413609684</c:v>
                </c:pt>
                <c:pt idx="1">
                  <c:v>2.0344914209337759</c:v>
                </c:pt>
                <c:pt idx="2">
                  <c:v>1.7571583735660226</c:v>
                </c:pt>
                <c:pt idx="3">
                  <c:v>1.6764024976386986</c:v>
                </c:pt>
                <c:pt idx="4">
                  <c:v>1.4638559828205606</c:v>
                </c:pt>
                <c:pt idx="5">
                  <c:v>1.3617601888277322</c:v>
                </c:pt>
                <c:pt idx="6">
                  <c:v>1.2436581369638808</c:v>
                </c:pt>
                <c:pt idx="7">
                  <c:v>1.2396336880088576</c:v>
                </c:pt>
                <c:pt idx="8">
                  <c:v>1.5689557144670037</c:v>
                </c:pt>
                <c:pt idx="9">
                  <c:v>0.41445347837448832</c:v>
                </c:pt>
              </c:numCache>
            </c:numRef>
          </c:val>
          <c:extLst>
            <c:ext xmlns:c16="http://schemas.microsoft.com/office/drawing/2014/chart" uri="{C3380CC4-5D6E-409C-BE32-E72D297353CC}">
              <c16:uniqueId val="{00000003-EADE-4E01-A08E-A9859CEC6CE9}"/>
            </c:ext>
          </c:extLst>
        </c:ser>
        <c:ser>
          <c:idx val="3"/>
          <c:order val="4"/>
          <c:tx>
            <c:strRef>
              <c:f>'Jurisdiction by industry'!$G$126</c:f>
              <c:strCache>
                <c:ptCount val="1"/>
                <c:pt idx="0">
                  <c:v>2021-22</c:v>
                </c:pt>
              </c:strCache>
            </c:strRef>
          </c:tx>
          <c:spPr>
            <a:solidFill>
              <a:srgbClr val="C10A27"/>
            </a:solidFill>
            <a:ln w="6350">
              <a:solidFill>
                <a:sysClr val="windowText" lastClr="000000"/>
              </a:solidFill>
              <a:prstDash val="solid"/>
            </a:ln>
          </c:spPr>
          <c:invertIfNegative val="0"/>
          <c:cat>
            <c:strRef>
              <c:f>('Jurisdiction by industry'!$A$127:$A$134,'Jurisdiction by industry'!$A$136:$A$137)</c:f>
              <c:strCache>
                <c:ptCount val="10"/>
                <c:pt idx="0">
                  <c:v>ACT Private</c:v>
                </c:pt>
                <c:pt idx="1">
                  <c:v>NSW</c:v>
                </c:pt>
                <c:pt idx="2">
                  <c:v>NT</c:v>
                </c:pt>
                <c:pt idx="3">
                  <c:v>WA</c:v>
                </c:pt>
                <c:pt idx="4">
                  <c:v>Tas</c:v>
                </c:pt>
                <c:pt idx="5">
                  <c:v>SA</c:v>
                </c:pt>
                <c:pt idx="6">
                  <c:v>Qld</c:v>
                </c:pt>
                <c:pt idx="7">
                  <c:v>Vic</c:v>
                </c:pt>
                <c:pt idx="8">
                  <c:v>Aus Av</c:v>
                </c:pt>
                <c:pt idx="9">
                  <c:v>NZ</c:v>
                </c:pt>
              </c:strCache>
            </c:strRef>
          </c:cat>
          <c:val>
            <c:numRef>
              <c:f>('Jurisdiction by industry'!$G$127:$G$134,'Jurisdiction by industry'!$G$136:$G$137)</c:f>
              <c:numCache>
                <c:formatCode>0.00</c:formatCode>
                <c:ptCount val="10"/>
                <c:pt idx="0">
                  <c:v>2.5230817890427901</c:v>
                </c:pt>
                <c:pt idx="1">
                  <c:v>2.005493832877046</c:v>
                </c:pt>
                <c:pt idx="2">
                  <c:v>1.8061851658183974</c:v>
                </c:pt>
                <c:pt idx="3">
                  <c:v>1.7631721483035374</c:v>
                </c:pt>
                <c:pt idx="4">
                  <c:v>1.4510097006096747</c:v>
                </c:pt>
                <c:pt idx="5">
                  <c:v>1.4336263028872371</c:v>
                </c:pt>
                <c:pt idx="6">
                  <c:v>1.2619081512405885</c:v>
                </c:pt>
                <c:pt idx="7">
                  <c:v>1.1483419859024653</c:v>
                </c:pt>
                <c:pt idx="8">
                  <c:v>1.5436193004804031</c:v>
                </c:pt>
                <c:pt idx="9">
                  <c:v>0.41003775917897334</c:v>
                </c:pt>
              </c:numCache>
            </c:numRef>
          </c:val>
          <c:extLst>
            <c:ext xmlns:c16="http://schemas.microsoft.com/office/drawing/2014/chart" uri="{C3380CC4-5D6E-409C-BE32-E72D297353CC}">
              <c16:uniqueId val="{00000004-EADE-4E01-A08E-A9859CEC6CE9}"/>
            </c:ext>
          </c:extLst>
        </c:ser>
        <c:dLbls>
          <c:showLegendKey val="0"/>
          <c:showVal val="0"/>
          <c:showCatName val="0"/>
          <c:showSerName val="0"/>
          <c:showPercent val="0"/>
          <c:showBubbleSize val="0"/>
        </c:dLbls>
        <c:gapWidth val="150"/>
        <c:axId val="221718400"/>
        <c:axId val="221719936"/>
      </c:barChart>
      <c:lineChart>
        <c:grouping val="standard"/>
        <c:varyColors val="0"/>
        <c:ser>
          <c:idx val="4"/>
          <c:order val="5"/>
          <c:tx>
            <c:strRef>
              <c:f>'Jurisdiction by industry'!$H$125</c:f>
              <c:strCache>
                <c:ptCount val="1"/>
                <c:pt idx="0">
                  <c:v>2021-22 Aus av</c:v>
                </c:pt>
              </c:strCache>
            </c:strRef>
          </c:tx>
          <c:spPr>
            <a:ln>
              <a:solidFill>
                <a:srgbClr val="C10A27"/>
              </a:solidFill>
            </a:ln>
          </c:spPr>
          <c:marker>
            <c:symbol val="none"/>
          </c:marker>
          <c:val>
            <c:numRef>
              <c:f>'Jurisdiction by industry'!$H$127:$H$134</c:f>
              <c:numCache>
                <c:formatCode>0.00</c:formatCode>
                <c:ptCount val="8"/>
                <c:pt idx="0">
                  <c:v>1.5436193004804031</c:v>
                </c:pt>
                <c:pt idx="1">
                  <c:v>1.5436193004804031</c:v>
                </c:pt>
                <c:pt idx="2">
                  <c:v>1.5436193004804031</c:v>
                </c:pt>
                <c:pt idx="3">
                  <c:v>1.5436193004804031</c:v>
                </c:pt>
                <c:pt idx="4">
                  <c:v>1.5436193004804031</c:v>
                </c:pt>
                <c:pt idx="5">
                  <c:v>1.5436193004804031</c:v>
                </c:pt>
                <c:pt idx="6">
                  <c:v>1.5436193004804031</c:v>
                </c:pt>
                <c:pt idx="7">
                  <c:v>1.5436193004804031</c:v>
                </c:pt>
              </c:numCache>
            </c:numRef>
          </c:val>
          <c:smooth val="0"/>
          <c:extLst>
            <c:ext xmlns:c16="http://schemas.microsoft.com/office/drawing/2014/chart" uri="{C3380CC4-5D6E-409C-BE32-E72D297353CC}">
              <c16:uniqueId val="{00000005-EADE-4E01-A08E-A9859CEC6CE9}"/>
            </c:ext>
          </c:extLst>
        </c:ser>
        <c:dLbls>
          <c:showLegendKey val="0"/>
          <c:showVal val="0"/>
          <c:showCatName val="0"/>
          <c:showSerName val="0"/>
          <c:showPercent val="0"/>
          <c:showBubbleSize val="0"/>
        </c:dLbls>
        <c:marker val="1"/>
        <c:smooth val="0"/>
        <c:axId val="221718400"/>
        <c:axId val="221719936"/>
      </c:lineChart>
      <c:catAx>
        <c:axId val="2217184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719936"/>
        <c:crosses val="autoZero"/>
        <c:auto val="1"/>
        <c:lblAlgn val="ctr"/>
        <c:lblOffset val="100"/>
        <c:tickMarkSkip val="1"/>
        <c:noMultiLvlLbl val="0"/>
      </c:catAx>
      <c:valAx>
        <c:axId val="221719936"/>
        <c:scaling>
          <c:orientation val="minMax"/>
          <c:max val="3"/>
          <c:min val="0"/>
        </c:scaling>
        <c:delete val="0"/>
        <c:axPos val="l"/>
        <c:majorGridlines>
          <c:spPr>
            <a:ln w="3175">
              <a:solidFill>
                <a:srgbClr val="969696"/>
              </a:solidFill>
              <a:prstDash val="solid"/>
            </a:ln>
          </c:spPr>
        </c:majorGridlines>
        <c:title>
          <c:tx>
            <c:rich>
              <a:bodyPr/>
              <a:lstStyle/>
              <a:p>
                <a:pPr>
                  <a:defRPr sz="800" b="0" i="0" u="none" strike="noStrike" baseline="0">
                    <a:solidFill>
                      <a:srgbClr val="000000"/>
                    </a:solidFill>
                    <a:latin typeface="Arial"/>
                    <a:ea typeface="Arial"/>
                    <a:cs typeface="Arial"/>
                  </a:defRPr>
                </a:pPr>
                <a:r>
                  <a:rPr lang="en-AU"/>
                  <a:t>% of payroll</a:t>
                </a:r>
              </a:p>
            </c:rich>
          </c:tx>
          <c:layout>
            <c:manualLayout>
              <c:xMode val="edge"/>
              <c:yMode val="edge"/>
              <c:x val="8.6515689107227192E-2"/>
              <c:y val="0.2270922061183728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1718400"/>
        <c:crosses val="autoZero"/>
        <c:crossBetween val="between"/>
        <c:majorUnit val="0.5"/>
      </c:valAx>
      <c:dTable>
        <c:showHorzBorder val="0"/>
        <c:showVertBorder val="0"/>
        <c:showOutline val="0"/>
        <c:showKeys val="1"/>
        <c:txPr>
          <a:bodyPr/>
          <a:lstStyle/>
          <a:p>
            <a:pPr rtl="0">
              <a:defRPr sz="800"/>
            </a:pPr>
            <a:endParaRPr lang="en-US"/>
          </a:p>
        </c:txPr>
      </c:dTable>
      <c:spPr>
        <a:noFill/>
        <a:ln w="3175">
          <a:solidFill>
            <a:sysClr val="windowText" lastClr="000000"/>
          </a:solid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0.20125</cdr:x>
      <cdr:y>0.94736</cdr:y>
    </cdr:from>
    <cdr:to>
      <cdr:x>0.98207</cdr:x>
      <cdr:y>0.9925</cdr:y>
    </cdr:to>
    <cdr:sp macro="" textlink="">
      <cdr:nvSpPr>
        <cdr:cNvPr id="559105" name="Rectangle 1"/>
        <cdr:cNvSpPr>
          <a:spLocks xmlns:a="http://schemas.openxmlformats.org/drawingml/2006/main" noChangeArrowheads="1"/>
        </cdr:cNvSpPr>
      </cdr:nvSpPr>
      <cdr:spPr bwMode="auto">
        <a:xfrm xmlns:a="http://schemas.openxmlformats.org/drawingml/2006/main" flipV="1">
          <a:off x="1431904" y="3410923"/>
          <a:ext cx="5555671" cy="1625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AU"/>
        </a:p>
      </cdr:txBody>
    </cdr:sp>
  </cdr:relSizeAnchor>
</c:userShapes>
</file>

<file path=word/drawings/drawing2.xml><?xml version="1.0" encoding="utf-8"?>
<c:userShapes xmlns:c="http://schemas.openxmlformats.org/drawingml/2006/chart">
  <cdr:relSizeAnchor xmlns:cdr="http://schemas.openxmlformats.org/drawingml/2006/chartDrawing">
    <cdr:from>
      <cdr:x>0.51057</cdr:x>
      <cdr:y>0.06092</cdr:y>
    </cdr:from>
    <cdr:to>
      <cdr:x>0.9412</cdr:x>
      <cdr:y>0.3222</cdr:y>
    </cdr:to>
    <cdr:sp macro="" textlink="">
      <cdr:nvSpPr>
        <cdr:cNvPr id="670722" name="Text Box 1"/>
        <cdr:cNvSpPr txBox="1">
          <a:spLocks xmlns:a="http://schemas.openxmlformats.org/drawingml/2006/main" noChangeArrowheads="1"/>
        </cdr:cNvSpPr>
      </cdr:nvSpPr>
      <cdr:spPr bwMode="auto">
        <a:xfrm xmlns:a="http://schemas.openxmlformats.org/drawingml/2006/main">
          <a:off x="4630719" y="274967"/>
          <a:ext cx="3905687" cy="1179308"/>
        </a:xfrm>
        <a:prstGeom xmlns:a="http://schemas.openxmlformats.org/drawingml/2006/main" prst="rect">
          <a:avLst/>
        </a:prstGeom>
        <a:solidFill xmlns:a="http://schemas.openxmlformats.org/drawingml/2006/main">
          <a:srgbClr val="FFFFFF"/>
        </a:solidFill>
        <a:ln xmlns:a="http://schemas.openxmlformats.org/drawingml/2006/main" w="12700">
          <a:solidFill>
            <a:srgbClr val="000000"/>
          </a:solidFill>
          <a:miter lim="800000"/>
          <a:headEnd/>
          <a:tailEnd/>
        </a:ln>
      </cdr:spPr>
      <cdr:txBody>
        <a:bodyPr xmlns:a="http://schemas.openxmlformats.org/drawingml/2006/main" vertOverflow="clip" wrap="square" lIns="72000" tIns="72000" rIns="72000" bIns="72000" numCol="2" spcCol="72000" anchor="ctr" upright="1"/>
        <a:lstStyle xmlns:a="http://schemas.openxmlformats.org/drawingml/2006/main"/>
        <a:p xmlns:a="http://schemas.openxmlformats.org/drawingml/2006/main">
          <a:pPr algn="l" rtl="0">
            <a:defRPr sz="1000"/>
          </a:pPr>
          <a:r>
            <a:rPr lang="en-AU" sz="700" b="0" i="0" u="none" strike="noStrike" baseline="0">
              <a:ln>
                <a:noFill/>
              </a:ln>
              <a:solidFill>
                <a:srgbClr val="000000"/>
              </a:solidFill>
              <a:latin typeface="Arial"/>
              <a:cs typeface="Arial"/>
            </a:rPr>
            <a:t>A  Agriculture, forestry &amp; fishing</a:t>
          </a:r>
        </a:p>
        <a:p xmlns:a="http://schemas.openxmlformats.org/drawingml/2006/main">
          <a:pPr algn="l" rtl="0">
            <a:defRPr sz="1000"/>
          </a:pPr>
          <a:r>
            <a:rPr lang="en-AU" sz="700" b="0" i="0" u="none" strike="noStrike" baseline="0">
              <a:ln>
                <a:noFill/>
              </a:ln>
              <a:solidFill>
                <a:srgbClr val="000000"/>
              </a:solidFill>
              <a:latin typeface="Arial"/>
              <a:cs typeface="Arial"/>
            </a:rPr>
            <a:t>B  Mining</a:t>
          </a:r>
        </a:p>
        <a:p xmlns:a="http://schemas.openxmlformats.org/drawingml/2006/main">
          <a:pPr algn="l" rtl="0">
            <a:defRPr sz="1000"/>
          </a:pPr>
          <a:r>
            <a:rPr lang="en-AU" sz="700" b="0" i="0" u="none" strike="noStrike" baseline="0">
              <a:ln>
                <a:noFill/>
              </a:ln>
              <a:solidFill>
                <a:srgbClr val="000000"/>
              </a:solidFill>
              <a:latin typeface="Arial"/>
              <a:cs typeface="Arial"/>
            </a:rPr>
            <a:t>C  Manufacturing                                                       </a:t>
          </a:r>
        </a:p>
        <a:p xmlns:a="http://schemas.openxmlformats.org/drawingml/2006/main">
          <a:pPr algn="l" rtl="0">
            <a:defRPr sz="1000"/>
          </a:pPr>
          <a:r>
            <a:rPr lang="en-AU" sz="700" b="0" i="0" u="none" strike="noStrike" baseline="0">
              <a:ln>
                <a:noFill/>
              </a:ln>
              <a:solidFill>
                <a:srgbClr val="000000"/>
              </a:solidFill>
              <a:latin typeface="Arial"/>
              <a:cs typeface="Arial"/>
            </a:rPr>
            <a:t>D  Electricity, gas, water and waste</a:t>
          </a:r>
        </a:p>
        <a:p xmlns:a="http://schemas.openxmlformats.org/drawingml/2006/main">
          <a:pPr algn="l" rtl="0">
            <a:defRPr sz="1000"/>
          </a:pPr>
          <a:r>
            <a:rPr lang="en-AU" sz="700" b="0" i="0" u="none" strike="noStrike" baseline="0">
              <a:ln>
                <a:noFill/>
              </a:ln>
              <a:solidFill>
                <a:srgbClr val="000000"/>
              </a:solidFill>
              <a:latin typeface="Arial"/>
              <a:cs typeface="Arial"/>
            </a:rPr>
            <a:t>E  Construction    </a:t>
          </a:r>
        </a:p>
        <a:p xmlns:a="http://schemas.openxmlformats.org/drawingml/2006/main">
          <a:pPr algn="l" rtl="0">
            <a:defRPr sz="1000"/>
          </a:pPr>
          <a:r>
            <a:rPr lang="en-AU" sz="700" b="0" i="0" u="none" strike="noStrike" baseline="0">
              <a:ln>
                <a:noFill/>
              </a:ln>
              <a:solidFill>
                <a:srgbClr val="000000"/>
              </a:solidFill>
              <a:latin typeface="Arial"/>
              <a:cs typeface="Arial"/>
            </a:rPr>
            <a:t>F  Wholesale trade      </a:t>
          </a:r>
        </a:p>
        <a:p xmlns:a="http://schemas.openxmlformats.org/drawingml/2006/main">
          <a:pPr algn="l" rtl="0">
            <a:defRPr sz="1000"/>
          </a:pPr>
          <a:r>
            <a:rPr lang="en-AU" sz="700" b="0" i="0" u="none" strike="noStrike" baseline="0">
              <a:ln>
                <a:noFill/>
              </a:ln>
              <a:solidFill>
                <a:srgbClr val="000000"/>
              </a:solidFill>
              <a:latin typeface="Arial"/>
              <a:cs typeface="Arial"/>
            </a:rPr>
            <a:t>G  Retail trade       </a:t>
          </a:r>
        </a:p>
        <a:p xmlns:a="http://schemas.openxmlformats.org/drawingml/2006/main">
          <a:pPr algn="l" rtl="0">
            <a:defRPr sz="1000"/>
          </a:pPr>
          <a:r>
            <a:rPr lang="en-AU" sz="700" b="0" i="0" u="none" strike="noStrike" baseline="0">
              <a:ln>
                <a:noFill/>
              </a:ln>
              <a:solidFill>
                <a:srgbClr val="000000"/>
              </a:solidFill>
              <a:latin typeface="Arial"/>
              <a:cs typeface="Arial"/>
            </a:rPr>
            <a:t>H  Accommodation and food services </a:t>
          </a:r>
        </a:p>
        <a:p xmlns:a="http://schemas.openxmlformats.org/drawingml/2006/main">
          <a:pPr algn="l" rtl="0">
            <a:defRPr sz="1000"/>
          </a:pPr>
          <a:r>
            <a:rPr lang="en-AU" sz="700" b="0" i="0" u="none" strike="noStrike" baseline="0">
              <a:ln>
                <a:noFill/>
              </a:ln>
              <a:solidFill>
                <a:srgbClr val="000000"/>
              </a:solidFill>
              <a:latin typeface="Arial"/>
              <a:cs typeface="Arial"/>
            </a:rPr>
            <a:t>I   Transport, postal and warehousing</a:t>
          </a:r>
        </a:p>
        <a:p xmlns:a="http://schemas.openxmlformats.org/drawingml/2006/main">
          <a:pPr algn="l" rtl="0">
            <a:defRPr sz="1000"/>
          </a:pPr>
          <a:r>
            <a:rPr lang="en-AU" sz="700" b="0" i="0" u="none" strike="noStrike" baseline="0">
              <a:ln>
                <a:noFill/>
              </a:ln>
              <a:solidFill>
                <a:srgbClr val="000000"/>
              </a:solidFill>
              <a:latin typeface="Arial"/>
              <a:cs typeface="Arial"/>
            </a:rPr>
            <a:t>J  Information, media and telecommunications</a:t>
          </a:r>
        </a:p>
        <a:p xmlns:a="http://schemas.openxmlformats.org/drawingml/2006/main">
          <a:pPr algn="l" rtl="0">
            <a:defRPr sz="1000"/>
          </a:pPr>
          <a:r>
            <a:rPr lang="en-AU" sz="700" b="0" i="0" u="none" strike="noStrike" baseline="0">
              <a:ln>
                <a:noFill/>
              </a:ln>
              <a:solidFill>
                <a:srgbClr val="000000"/>
              </a:solidFill>
              <a:latin typeface="Arial"/>
              <a:cs typeface="Arial"/>
            </a:rPr>
            <a:t>K  Finance &amp; insurance</a:t>
          </a:r>
        </a:p>
        <a:p xmlns:a="http://schemas.openxmlformats.org/drawingml/2006/main">
          <a:pPr algn="l" rtl="0">
            <a:defRPr sz="1000"/>
          </a:pPr>
          <a:r>
            <a:rPr lang="en-AU" sz="700" b="0" i="0" u="none" strike="noStrike" baseline="0">
              <a:ln>
                <a:noFill/>
              </a:ln>
              <a:solidFill>
                <a:srgbClr val="000000"/>
              </a:solidFill>
              <a:latin typeface="Arial"/>
              <a:cs typeface="Arial"/>
            </a:rPr>
            <a:t>L  Rental, hiring and real estate</a:t>
          </a:r>
        </a:p>
        <a:p xmlns:a="http://schemas.openxmlformats.org/drawingml/2006/main">
          <a:pPr algn="l" rtl="0">
            <a:defRPr sz="1000"/>
          </a:pPr>
          <a:r>
            <a:rPr lang="en-AU" sz="700" b="0" i="0" u="none" strike="noStrike" baseline="0">
              <a:ln>
                <a:noFill/>
              </a:ln>
              <a:solidFill>
                <a:srgbClr val="000000"/>
              </a:solidFill>
              <a:latin typeface="Arial"/>
              <a:cs typeface="Arial"/>
            </a:rPr>
            <a:t>M  Professional, scientific, and technical</a:t>
          </a:r>
        </a:p>
        <a:p xmlns:a="http://schemas.openxmlformats.org/drawingml/2006/main">
          <a:pPr algn="l" rtl="0">
            <a:defRPr sz="1000"/>
          </a:pPr>
          <a:r>
            <a:rPr lang="en-AU" sz="700" b="0" i="0" u="none" strike="noStrike" baseline="0">
              <a:ln>
                <a:noFill/>
              </a:ln>
              <a:solidFill>
                <a:srgbClr val="000000"/>
              </a:solidFill>
              <a:latin typeface="Arial"/>
              <a:cs typeface="Arial"/>
            </a:rPr>
            <a:t>N  Administrative and Support services</a:t>
          </a:r>
        </a:p>
        <a:p xmlns:a="http://schemas.openxmlformats.org/drawingml/2006/main">
          <a:pPr algn="l" rtl="0">
            <a:defRPr sz="1000"/>
          </a:pPr>
          <a:r>
            <a:rPr lang="en-AU" sz="700" b="0" i="0" u="none" strike="noStrike" baseline="0">
              <a:ln>
                <a:noFill/>
              </a:ln>
              <a:solidFill>
                <a:srgbClr val="000000"/>
              </a:solidFill>
              <a:latin typeface="Arial"/>
              <a:cs typeface="Arial"/>
            </a:rPr>
            <a:t>O  Public administration and safety</a:t>
          </a:r>
        </a:p>
        <a:p xmlns:a="http://schemas.openxmlformats.org/drawingml/2006/main">
          <a:pPr algn="l" rtl="0">
            <a:defRPr sz="1000"/>
          </a:pPr>
          <a:r>
            <a:rPr lang="en-AU" sz="700" b="0" i="0" u="none" strike="noStrike" baseline="0">
              <a:ln>
                <a:noFill/>
              </a:ln>
              <a:solidFill>
                <a:srgbClr val="000000"/>
              </a:solidFill>
              <a:latin typeface="Arial"/>
              <a:cs typeface="Arial"/>
            </a:rPr>
            <a:t>P  Education and training</a:t>
          </a:r>
        </a:p>
        <a:p xmlns:a="http://schemas.openxmlformats.org/drawingml/2006/main">
          <a:pPr algn="l" rtl="0">
            <a:defRPr sz="1000"/>
          </a:pPr>
          <a:r>
            <a:rPr lang="en-AU" sz="700" b="0" i="0" u="none" strike="noStrike" baseline="0">
              <a:ln>
                <a:noFill/>
              </a:ln>
              <a:solidFill>
                <a:srgbClr val="000000"/>
              </a:solidFill>
              <a:latin typeface="Arial"/>
              <a:cs typeface="Arial"/>
            </a:rPr>
            <a:t>Q  Health care and social assistance </a:t>
          </a:r>
        </a:p>
        <a:p xmlns:a="http://schemas.openxmlformats.org/drawingml/2006/main">
          <a:pPr algn="l" rtl="0">
            <a:defRPr sz="1000"/>
          </a:pPr>
          <a:r>
            <a:rPr lang="en-AU" sz="700" b="0" i="0" u="none" strike="noStrike" baseline="0">
              <a:ln>
                <a:noFill/>
              </a:ln>
              <a:solidFill>
                <a:srgbClr val="000000"/>
              </a:solidFill>
              <a:latin typeface="Arial"/>
              <a:cs typeface="Arial"/>
            </a:rPr>
            <a:t>R  Arts and recreation services</a:t>
          </a:r>
        </a:p>
        <a:p xmlns:a="http://schemas.openxmlformats.org/drawingml/2006/main">
          <a:pPr algn="l" rtl="0">
            <a:defRPr sz="1000"/>
          </a:pPr>
          <a:r>
            <a:rPr lang="en-AU" sz="700" b="0" i="0" u="none" strike="noStrike" baseline="0">
              <a:ln>
                <a:noFill/>
              </a:ln>
              <a:solidFill>
                <a:srgbClr val="000000"/>
              </a:solidFill>
              <a:latin typeface="Arial"/>
              <a:cs typeface="Arial"/>
            </a:rPr>
            <a:t>S  Other Services</a:t>
          </a:r>
        </a:p>
      </cdr:txBody>
    </cdr:sp>
  </cdr:relSizeAnchor>
  <cdr:relSizeAnchor xmlns:cdr="http://schemas.openxmlformats.org/drawingml/2006/chartDrawing">
    <cdr:from>
      <cdr:x>0.16544</cdr:x>
      <cdr:y>0.9093</cdr:y>
    </cdr:from>
    <cdr:to>
      <cdr:x>0.994</cdr:x>
      <cdr:y>0.96894</cdr:y>
    </cdr:to>
    <cdr:sp macro="" textlink="">
      <cdr:nvSpPr>
        <cdr:cNvPr id="670721" name="Rectangle 4"/>
        <cdr:cNvSpPr>
          <a:spLocks xmlns:a="http://schemas.openxmlformats.org/drawingml/2006/main" noChangeArrowheads="1"/>
        </cdr:cNvSpPr>
      </cdr:nvSpPr>
      <cdr:spPr bwMode="auto">
        <a:xfrm xmlns:a="http://schemas.openxmlformats.org/drawingml/2006/main">
          <a:off x="1492334" y="4010067"/>
          <a:ext cx="7473756" cy="263017"/>
        </a:xfrm>
        <a:prstGeom xmlns:a="http://schemas.openxmlformats.org/drawingml/2006/main" prst="rect">
          <a:avLst/>
        </a:prstGeom>
        <a:solidFill xmlns:a="http://schemas.openxmlformats.org/drawingml/2006/main">
          <a:srgbClr val="FFFFFF"/>
        </a:solidFill>
        <a:ln xmlns:a="http://schemas.openxmlformats.org/drawingml/2006/main" w="0">
          <a:noFill/>
          <a:miter lim="800000"/>
          <a:headEnd/>
          <a:tailEnd/>
        </a:ln>
      </cdr:spPr>
      <cdr:txBody>
        <a:bodyPr xmlns:a="http://schemas.openxmlformats.org/drawingml/2006/main"/>
        <a:lstStyle xmlns:a="http://schemas.openxmlformats.org/drawingml/2006/main"/>
        <a:p xmlns:a="http://schemas.openxmlformats.org/drawingml/2006/main">
          <a:endParaRPr lang="en-A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SWA Colour Theme">
    <a:dk1>
      <a:sysClr val="windowText" lastClr="000000"/>
    </a:dk1>
    <a:lt1>
      <a:sysClr val="window" lastClr="FFFFFF"/>
    </a:lt1>
    <a:dk2>
      <a:srgbClr val="1F497D"/>
    </a:dk2>
    <a:lt2>
      <a:srgbClr val="EEECE1"/>
    </a:lt2>
    <a:accent1>
      <a:srgbClr val="F7A890"/>
    </a:accent1>
    <a:accent2>
      <a:srgbClr val="ECEAE9"/>
    </a:accent2>
    <a:accent3>
      <a:srgbClr val="4D4D4F"/>
    </a:accent3>
    <a:accent4>
      <a:srgbClr val="77787B"/>
    </a:accent4>
    <a:accent5>
      <a:srgbClr val="9D9FA2"/>
    </a:accent5>
    <a:accent6>
      <a:srgbClr val="FAC8B9"/>
    </a:accent6>
    <a:hlink>
      <a:srgbClr val="FFFFFF"/>
    </a:hlink>
    <a:folHlink>
      <a:srgbClr val="FFFFFF"/>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399F-2F7C-4920-9B95-931C0E93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3594</Words>
  <Characters>20564</Characters>
  <Application>Microsoft Office Word</Application>
  <DocSecurity>0</DocSecurity>
  <Lines>685</Lines>
  <Paragraphs>549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2023-11-02T01:33:00Z</dcterms:created>
  <dcterms:modified xsi:type="dcterms:W3CDTF">2023-12-13T03:00:00Z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2022-06-23T01:56:40Z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c683146d-6522-4a52-917c-08b48f23605a</vt:lpwstr>
  </property>
  <property fmtid="{D5CDD505-2E9C-101B-9397-08002B2CF9AE}" pid="8" name="MSIP_Label_79d889eb-932f-4752-8739-64d25806ef64_ContentBits">
    <vt:lpwstr>0</vt:lpwstr>
  </property>
</Properties>
</file>