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9D7EE" w14:textId="77777777" w:rsidR="00FB5F0A" w:rsidRDefault="00FB5F0A" w:rsidP="006777D3">
      <w:pPr>
        <w:pStyle w:val="Subtitle"/>
      </w:pPr>
      <w:r>
        <w:t xml:space="preserve">Safe </w:t>
      </w:r>
      <w:r w:rsidRPr="006777D3">
        <w:t>Work</w:t>
      </w:r>
      <w:r>
        <w:t xml:space="preserve"> Australia</w:t>
      </w:r>
    </w:p>
    <w:p w14:paraId="43AEFC00" w14:textId="1361E1F6" w:rsidR="00C86576" w:rsidRDefault="009950A4" w:rsidP="00C86576">
      <w:pPr>
        <w:pStyle w:val="Title"/>
      </w:pPr>
      <w:r>
        <w:t xml:space="preserve">Review of </w:t>
      </w:r>
      <w:r w:rsidR="00565F55">
        <w:t xml:space="preserve">data used </w:t>
      </w:r>
      <w:r w:rsidR="00CD3C3E">
        <w:br/>
      </w:r>
      <w:r w:rsidR="00565F55">
        <w:t xml:space="preserve">to calculate injury </w:t>
      </w:r>
      <w:proofErr w:type="gramStart"/>
      <w:r w:rsidR="00565F55">
        <w:t>rates</w:t>
      </w:r>
      <w:proofErr w:type="gramEnd"/>
    </w:p>
    <w:p w14:paraId="156F22D8" w14:textId="635B4A87" w:rsidR="000E276E" w:rsidRDefault="00565F55" w:rsidP="000E276E">
      <w:pPr>
        <w:pStyle w:val="Titledate"/>
        <w:tabs>
          <w:tab w:val="clear" w:pos="9072"/>
          <w:tab w:val="right" w:leader="dot" w:pos="6379"/>
        </w:tabs>
        <w:ind w:right="2647"/>
      </w:pPr>
      <w:r>
        <w:rPr>
          <w:caps w:val="0"/>
        </w:rPr>
        <w:t>September</w:t>
      </w:r>
      <w:r w:rsidR="00C86576">
        <w:rPr>
          <w:caps w:val="0"/>
        </w:rPr>
        <w:t xml:space="preserve"> 2023</w:t>
      </w:r>
    </w:p>
    <w:p w14:paraId="639867D2" w14:textId="77777777" w:rsidR="000E276E" w:rsidRDefault="000E276E" w:rsidP="00FB5F0A">
      <w:pPr>
        <w:pStyle w:val="Titledate"/>
      </w:pPr>
    </w:p>
    <w:p w14:paraId="68D3DBB2" w14:textId="77777777" w:rsidR="002F3EFF" w:rsidRDefault="002F3EFF" w:rsidP="00FB5F0A">
      <w:pPr>
        <w:pStyle w:val="Titledate"/>
      </w:pPr>
    </w:p>
    <w:p w14:paraId="22A037E6" w14:textId="77777777" w:rsidR="002F3EFF" w:rsidRDefault="002F3EFF" w:rsidP="00FB5F0A">
      <w:pPr>
        <w:pStyle w:val="Titledate"/>
      </w:pPr>
    </w:p>
    <w:p w14:paraId="778D2C2C" w14:textId="77777777" w:rsidR="002F3EFF" w:rsidRDefault="002F3EFF" w:rsidP="00FB5F0A">
      <w:pPr>
        <w:pStyle w:val="Titledate"/>
      </w:pPr>
    </w:p>
    <w:p w14:paraId="7DE487F8" w14:textId="77777777" w:rsidR="002F3EFF" w:rsidRDefault="002F3EFF" w:rsidP="00FB5F0A">
      <w:pPr>
        <w:pStyle w:val="Titledate"/>
        <w:sectPr w:rsidR="002F3EFF" w:rsidSect="0029654A">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567" w:left="1440" w:header="709" w:footer="709" w:gutter="0"/>
          <w:cols w:space="708"/>
          <w:vAlign w:val="center"/>
          <w:titlePg/>
          <w:docGrid w:linePitch="360"/>
        </w:sectPr>
      </w:pPr>
    </w:p>
    <w:p w14:paraId="43413C31" w14:textId="77777777" w:rsidR="00FB5F0A" w:rsidRPr="007D5BA8" w:rsidRDefault="00FB5F0A" w:rsidP="00FB5F0A">
      <w:pPr>
        <w:pStyle w:val="Disclaimer"/>
        <w:rPr>
          <w:b/>
        </w:rPr>
      </w:pPr>
      <w:r w:rsidRPr="007D5BA8">
        <w:rPr>
          <w:b/>
        </w:rPr>
        <w:lastRenderedPageBreak/>
        <w:t>Disclaimer</w:t>
      </w:r>
    </w:p>
    <w:p w14:paraId="38AEEA75" w14:textId="77777777" w:rsidR="00FB5F0A" w:rsidRPr="00A034C4" w:rsidRDefault="00FB5F0A" w:rsidP="00FB5F0A">
      <w:pPr>
        <w:pStyle w:val="Disclaimer"/>
        <w:rPr>
          <w:b/>
          <w:lang w:eastAsia="en-AU"/>
        </w:rPr>
      </w:pPr>
      <w:r w:rsidRPr="00A034C4">
        <w:rPr>
          <w:lang w:eastAsia="en-AU"/>
        </w:rP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29656F5C" w14:textId="77777777" w:rsidR="00FB5F0A" w:rsidRPr="00A034C4" w:rsidRDefault="00FB5F0A" w:rsidP="00FB5F0A">
      <w:pPr>
        <w:pStyle w:val="Disclaimer"/>
        <w:rPr>
          <w:b/>
          <w:lang w:eastAsia="en-AU"/>
        </w:rPr>
      </w:pPr>
      <w:r w:rsidRPr="00A034C4">
        <w:rPr>
          <w:lang w:eastAsia="en-AU"/>
        </w:rP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w:t>
      </w:r>
      <w:r>
        <w:rPr>
          <w:lang w:eastAsia="en-AU"/>
        </w:rPr>
        <w:t>ction.</w:t>
      </w:r>
    </w:p>
    <w:p w14:paraId="7CD64DC8" w14:textId="77777777" w:rsidR="00FB5F0A" w:rsidRPr="00CD675A" w:rsidRDefault="00FB5F0A" w:rsidP="00FB5F0A">
      <w:pPr>
        <w:pStyle w:val="SWADisclaimerheading"/>
        <w:rPr>
          <w:color w:val="auto"/>
          <w:sz w:val="16"/>
          <w:szCs w:val="16"/>
        </w:rPr>
      </w:pPr>
      <w:r w:rsidRPr="00CD675A">
        <w:rPr>
          <w:color w:val="auto"/>
          <w:sz w:val="16"/>
          <w:szCs w:val="16"/>
        </w:rPr>
        <w:t>Creative Commons</w:t>
      </w:r>
    </w:p>
    <w:p w14:paraId="4472E5B8" w14:textId="77777777" w:rsidR="00FB5F0A" w:rsidRPr="00CD675A" w:rsidRDefault="00FB5F0A" w:rsidP="00FB5F0A">
      <w:pPr>
        <w:pStyle w:val="SWADisclaimerheading"/>
        <w:rPr>
          <w:b w:val="0"/>
          <w:color w:val="auto"/>
          <w:spacing w:val="0"/>
          <w:sz w:val="16"/>
          <w:szCs w:val="16"/>
          <w:lang w:eastAsia="en-AU"/>
        </w:rPr>
      </w:pPr>
      <w:r w:rsidRPr="00CD675A">
        <w:rPr>
          <w:b w:val="0"/>
          <w:bCs/>
          <w:color w:val="auto"/>
          <w:spacing w:val="0"/>
          <w:sz w:val="16"/>
          <w:szCs w:val="16"/>
        </w:rPr>
        <w:t xml:space="preserve">With the exception of the Safe Work Australia logo, this copyright work is licensed under a Creative Commons Attribution 4.0 International licence. To view a copy of this licence, visit creativecommons.org/licenses </w:t>
      </w:r>
      <w:proofErr w:type="gramStart"/>
      <w:r w:rsidRPr="00CD675A">
        <w:rPr>
          <w:b w:val="0"/>
          <w:bCs/>
          <w:color w:val="auto"/>
          <w:spacing w:val="0"/>
          <w:sz w:val="16"/>
          <w:szCs w:val="16"/>
        </w:rPr>
        <w:t>In</w:t>
      </w:r>
      <w:proofErr w:type="gramEnd"/>
      <w:r w:rsidRPr="00CD675A">
        <w:rPr>
          <w:b w:val="0"/>
          <w:bCs/>
          <w:color w:val="auto"/>
          <w:spacing w:val="0"/>
          <w:sz w:val="16"/>
          <w:szCs w:val="16"/>
        </w:rPr>
        <w:t xml:space="preserve"> essence, you are free to copy, communicate and adapt the work, even commercially, as long as you attribute the work to Safe Work Australia and abide by the other licence terms.</w:t>
      </w:r>
    </w:p>
    <w:p w14:paraId="06E3ABA0" w14:textId="77777777" w:rsidR="00FB5F0A" w:rsidRPr="0029654A" w:rsidRDefault="00FB5F0A" w:rsidP="00FB5F0A">
      <w:pPr>
        <w:pStyle w:val="Disclaimer"/>
        <w:rPr>
          <w:b/>
        </w:rPr>
      </w:pPr>
      <w:r w:rsidRPr="0029654A">
        <w:rPr>
          <w:b/>
        </w:rPr>
        <w:t xml:space="preserve">Contact </w:t>
      </w:r>
      <w:proofErr w:type="gramStart"/>
      <w:r w:rsidRPr="0029654A">
        <w:rPr>
          <w:b/>
        </w:rPr>
        <w:t>information</w:t>
      </w:r>
      <w:proofErr w:type="gramEnd"/>
    </w:p>
    <w:p w14:paraId="673BBC30" w14:textId="77777777" w:rsidR="00FB5F0A" w:rsidRDefault="00FB5F0A" w:rsidP="00FB5F0A">
      <w:pPr>
        <w:pStyle w:val="Disclaimer"/>
      </w:pPr>
      <w:r w:rsidRPr="00A034C4">
        <w:rPr>
          <w:lang w:eastAsia="en-AU"/>
        </w:rPr>
        <w:t xml:space="preserve">Safe Work Australia | </w:t>
      </w:r>
      <w:hyperlink r:id="rId18" w:tooltip="Send email to info@swa.gov.au" w:history="1">
        <w:r w:rsidRPr="00A034C4">
          <w:rPr>
            <w:rStyle w:val="Hyperlink"/>
            <w:rFonts w:eastAsia="Times New Roman" w:cs="Times New Roman"/>
            <w:lang w:eastAsia="en-AU"/>
          </w:rPr>
          <w:t>mailto:info@swa.gov.au</w:t>
        </w:r>
      </w:hyperlink>
      <w:r w:rsidRPr="00A034C4">
        <w:rPr>
          <w:lang w:eastAsia="en-AU"/>
        </w:rPr>
        <w:t xml:space="preserve"> | </w:t>
      </w:r>
      <w:hyperlink r:id="rId19" w:history="1">
        <w:r w:rsidRPr="00A034C4">
          <w:rPr>
            <w:rStyle w:val="Hyperlink"/>
            <w:rFonts w:eastAsia="Times New Roman" w:cs="Times New Roman"/>
            <w:lang w:eastAsia="en-AU"/>
          </w:rPr>
          <w:t>www.swa.gov.au</w:t>
        </w:r>
      </w:hyperlink>
    </w:p>
    <w:p w14:paraId="5C7F4DBB" w14:textId="77777777" w:rsidR="00B77BD6" w:rsidRDefault="00B77BD6" w:rsidP="00FB5F0A">
      <w:pPr>
        <w:sectPr w:rsidR="00B77BD6" w:rsidSect="007D5BA8">
          <w:headerReference w:type="first" r:id="rId20"/>
          <w:pgSz w:w="11906" w:h="16838" w:code="9"/>
          <w:pgMar w:top="1440" w:right="1440" w:bottom="1440" w:left="1440" w:header="709" w:footer="709" w:gutter="0"/>
          <w:cols w:space="708"/>
          <w:vAlign w:val="bottom"/>
          <w:titlePg/>
          <w:docGrid w:linePitch="360"/>
        </w:sectPr>
      </w:pPr>
    </w:p>
    <w:p w14:paraId="32A2084F" w14:textId="1595BC33" w:rsidR="00C86576" w:rsidRDefault="001D1A5D" w:rsidP="00C86576">
      <w:pPr>
        <w:pStyle w:val="Heading1"/>
      </w:pPr>
      <w:bookmarkStart w:id="0" w:name="_Toc142398311"/>
      <w:r>
        <w:lastRenderedPageBreak/>
        <w:t>I</w:t>
      </w:r>
      <w:r w:rsidR="00C86576">
        <w:t>ntroduction</w:t>
      </w:r>
      <w:bookmarkEnd w:id="0"/>
    </w:p>
    <w:p w14:paraId="14693B3B" w14:textId="77777777" w:rsidR="00CD3C3E" w:rsidRDefault="00C86576" w:rsidP="00C86576">
      <w:r>
        <w:t xml:space="preserve">In 2022-23, the Australian Bureau of Statistics (ABS) undertook a review of the methodology and data sources used for producing estimates of the working population covered by workers’ compensation schemes in Australia. </w:t>
      </w:r>
    </w:p>
    <w:p w14:paraId="0D2599B9" w14:textId="509059CF" w:rsidR="00C86576" w:rsidRDefault="00C86576" w:rsidP="00C86576">
      <w:r>
        <w:t>These estimates are used by Safe Work Australia (SWA) as the denominator to calculate injury frequency and incidence rates</w:t>
      </w:r>
      <w:r w:rsidR="006B1FB7">
        <w:t>. T</w:t>
      </w:r>
      <w:r w:rsidR="006B65EB">
        <w:t xml:space="preserve">he numerator </w:t>
      </w:r>
      <w:r w:rsidR="006B1FB7">
        <w:t xml:space="preserve">is the count of work-related injuries and illnesses sourced from workers’ compensation claims. Together, </w:t>
      </w:r>
      <w:r w:rsidR="00160F3E">
        <w:t>these</w:t>
      </w:r>
      <w:r w:rsidR="00296301">
        <w:t xml:space="preserve"> </w:t>
      </w:r>
      <w:r>
        <w:t>statistics enable comparisons to be made across key demographic and workforce characteristics</w:t>
      </w:r>
      <w:r w:rsidR="00CD3C3E">
        <w:t>,</w:t>
      </w:r>
      <w:r>
        <w:t xml:space="preserve"> as well as over time. </w:t>
      </w:r>
    </w:p>
    <w:p w14:paraId="7686FDC9" w14:textId="5E96E5F9" w:rsidR="00C86576" w:rsidRDefault="00C86576" w:rsidP="00C86576">
      <w:r>
        <w:t xml:space="preserve">The purpose of the review was to confirm the appropriateness and data quality of the information used to estimate ‘injury </w:t>
      </w:r>
      <w:r w:rsidR="00CD3C3E">
        <w:t xml:space="preserve">rate </w:t>
      </w:r>
      <w:r>
        <w:t xml:space="preserve">denominators’, given recent developments in the availability of labour market information and improvements to the measurement of </w:t>
      </w:r>
      <w:r w:rsidR="00DB0C85">
        <w:t xml:space="preserve">workers in </w:t>
      </w:r>
      <w:r>
        <w:t xml:space="preserve">different forms of </w:t>
      </w:r>
      <w:r w:rsidR="00DB0C85">
        <w:t>employment</w:t>
      </w:r>
      <w:r>
        <w:t>.</w:t>
      </w:r>
    </w:p>
    <w:p w14:paraId="5A4A04DE" w14:textId="60C34C2E" w:rsidR="00CD3C3E" w:rsidRDefault="00C86576" w:rsidP="00C86576">
      <w:r>
        <w:t xml:space="preserve">Based on the review, SWA </w:t>
      </w:r>
      <w:r w:rsidR="00634721">
        <w:t>has made</w:t>
      </w:r>
      <w:r>
        <w:t xml:space="preserve"> updates to the process used to calculate the injury</w:t>
      </w:r>
      <w:r w:rsidR="006B65EB">
        <w:t xml:space="preserve"> rate</w:t>
      </w:r>
      <w:r>
        <w:t xml:space="preserve"> denominators</w:t>
      </w:r>
      <w:r w:rsidR="00CD3C3E">
        <w:t>. This includes refining</w:t>
      </w:r>
      <w:r>
        <w:t xml:space="preserve"> how labour hire workers are </w:t>
      </w:r>
      <w:r w:rsidR="004B5BD0">
        <w:t xml:space="preserve">enumerated </w:t>
      </w:r>
      <w:r w:rsidR="00CD3C3E">
        <w:t xml:space="preserve">for different industries, </w:t>
      </w:r>
      <w:r>
        <w:t>and remov</w:t>
      </w:r>
      <w:r w:rsidR="00CD3C3E">
        <w:t>ing</w:t>
      </w:r>
      <w:r>
        <w:t xml:space="preserve"> independent contractors from the scope </w:t>
      </w:r>
      <w:r w:rsidR="006B65EB">
        <w:t xml:space="preserve">of the injury rate denominators </w:t>
      </w:r>
      <w:r>
        <w:t>since people in th</w:t>
      </w:r>
      <w:r w:rsidR="00DB0C85">
        <w:t>is</w:t>
      </w:r>
      <w:r>
        <w:t xml:space="preserve"> working arrangement are not typically covered by workers’ compensation schemes. </w:t>
      </w:r>
    </w:p>
    <w:p w14:paraId="33C2EEF9" w14:textId="445F7552" w:rsidR="00C86576" w:rsidRDefault="00C86576" w:rsidP="00C86576">
      <w:r>
        <w:t xml:space="preserve">These changes </w:t>
      </w:r>
      <w:r w:rsidR="00C064E8">
        <w:t>are</w:t>
      </w:r>
      <w:r>
        <w:t xml:space="preserve"> implemented for the 2021-22 </w:t>
      </w:r>
      <w:r w:rsidR="00DB0C85">
        <w:t>National dataset for compensation-based statistics (NDS)</w:t>
      </w:r>
      <w:r w:rsidR="00160F3E">
        <w:t xml:space="preserve"> release</w:t>
      </w:r>
      <w:r w:rsidR="00C064E8">
        <w:t xml:space="preserve"> (</w:t>
      </w:r>
      <w:r w:rsidR="00160F3E">
        <w:t>September 2023</w:t>
      </w:r>
      <w:r w:rsidR="00C064E8">
        <w:t>) onwards</w:t>
      </w:r>
      <w:r>
        <w:t xml:space="preserve">. </w:t>
      </w:r>
    </w:p>
    <w:p w14:paraId="0BE37138" w14:textId="04F602BB" w:rsidR="00C86576" w:rsidRDefault="00C86576" w:rsidP="00C86576">
      <w:r>
        <w:t xml:space="preserve">This paper explores the impact of these adjustments for key workforce and demographic breakdowns. </w:t>
      </w:r>
    </w:p>
    <w:p w14:paraId="2F7B2C2A" w14:textId="081F7D80" w:rsidR="00C86576" w:rsidRDefault="00C86576" w:rsidP="00F4226C">
      <w:pPr>
        <w:pStyle w:val="Heading1"/>
        <w:ind w:right="2324"/>
      </w:pPr>
      <w:bookmarkStart w:id="1" w:name="_Toc142398312"/>
      <w:r>
        <w:t>Changes to the</w:t>
      </w:r>
      <w:r w:rsidR="00F4226C">
        <w:t xml:space="preserve"> injury d</w:t>
      </w:r>
      <w:r>
        <w:t>enominators</w:t>
      </w:r>
      <w:bookmarkEnd w:id="1"/>
    </w:p>
    <w:p w14:paraId="235A114A" w14:textId="3109C56A" w:rsidR="00C86576" w:rsidRPr="00262B87" w:rsidRDefault="00C86576" w:rsidP="00262B87">
      <w:pPr>
        <w:pStyle w:val="Heading2"/>
        <w:tabs>
          <w:tab w:val="clear" w:pos="425"/>
        </w:tabs>
      </w:pPr>
      <w:bookmarkStart w:id="2" w:name="_Toc142398313"/>
      <w:r w:rsidRPr="00262B87">
        <w:t>Independent contractors</w:t>
      </w:r>
      <w:bookmarkEnd w:id="2"/>
    </w:p>
    <w:p w14:paraId="3C66A0CD" w14:textId="77777777" w:rsidR="00A85BB3" w:rsidRDefault="00C86576" w:rsidP="00C86576">
      <w:pPr>
        <w:spacing w:before="120"/>
      </w:pPr>
      <w:r>
        <w:t xml:space="preserve">Independent contractors are generally not considered employees of a business, and thus are not </w:t>
      </w:r>
      <w:r w:rsidR="008F5370">
        <w:t xml:space="preserve">generally </w:t>
      </w:r>
      <w:r>
        <w:t>eligible for workers’ compensation</w:t>
      </w:r>
      <w:r w:rsidR="002B3AB8">
        <w:rPr>
          <w:rStyle w:val="FootnoteReference"/>
        </w:rPr>
        <w:footnoteReference w:id="1"/>
      </w:r>
      <w:r>
        <w:t xml:space="preserve">. </w:t>
      </w:r>
    </w:p>
    <w:p w14:paraId="5156090A" w14:textId="6936EDF8" w:rsidR="00C86576" w:rsidRDefault="004D5411" w:rsidP="00C86576">
      <w:pPr>
        <w:spacing w:before="120"/>
      </w:pPr>
      <w:r>
        <w:t xml:space="preserve">While </w:t>
      </w:r>
      <w:r w:rsidR="004A0171">
        <w:t xml:space="preserve">variations </w:t>
      </w:r>
      <w:r w:rsidR="00C064E8">
        <w:t xml:space="preserve">in coverage </w:t>
      </w:r>
      <w:r w:rsidR="004A0171">
        <w:t xml:space="preserve">exist </w:t>
      </w:r>
      <w:r w:rsidR="008F5370">
        <w:t>across workers’ compensation schemes</w:t>
      </w:r>
      <w:r w:rsidR="00C064E8">
        <w:t>, for the purpose of the NDS</w:t>
      </w:r>
      <w:r w:rsidR="006F6295">
        <w:t>,</w:t>
      </w:r>
      <w:r w:rsidR="00C064E8">
        <w:t xml:space="preserve"> which is </w:t>
      </w:r>
      <w:proofErr w:type="gramStart"/>
      <w:r w:rsidR="00C064E8">
        <w:t>by definition a</w:t>
      </w:r>
      <w:proofErr w:type="gramEnd"/>
      <w:r w:rsidR="00C064E8">
        <w:t xml:space="preserve"> national dataset</w:t>
      </w:r>
      <w:r w:rsidR="006F6295">
        <w:t>,</w:t>
      </w:r>
      <w:r w:rsidR="00C064E8">
        <w:t xml:space="preserve"> it is most logical for these workers to be excluded from the population of interest.</w:t>
      </w:r>
      <w:r w:rsidR="003C5DEB">
        <w:t xml:space="preserve"> </w:t>
      </w:r>
    </w:p>
    <w:p w14:paraId="564EF88A" w14:textId="2648CC88" w:rsidR="001C1328" w:rsidRDefault="00C064E8" w:rsidP="00E56D06">
      <w:pPr>
        <w:spacing w:before="120"/>
      </w:pPr>
      <w:r>
        <w:t xml:space="preserve">The impact of this exclusion is modest. </w:t>
      </w:r>
      <w:r w:rsidR="00C86576" w:rsidRPr="00E77A9F">
        <w:t xml:space="preserve">As part of </w:t>
      </w:r>
      <w:r w:rsidR="00C86576">
        <w:t>its</w:t>
      </w:r>
      <w:r w:rsidR="00C86576" w:rsidRPr="00E77A9F">
        <w:t xml:space="preserve"> review, the ABS determined that there would be a reduction of around 3.1% in the number of employee jobs </w:t>
      </w:r>
      <w:r w:rsidR="00CD3C3E">
        <w:t xml:space="preserve">from removing independent contractors </w:t>
      </w:r>
      <w:r w:rsidR="00C86576" w:rsidRPr="00E77A9F">
        <w:t>in the</w:t>
      </w:r>
      <w:r w:rsidR="00CD3C3E">
        <w:t xml:space="preserve"> estimate of the working population covered by a workers’ compensation scheme (referred to as</w:t>
      </w:r>
      <w:r w:rsidR="00C86576" w:rsidRPr="00E77A9F">
        <w:t xml:space="preserve"> </w:t>
      </w:r>
      <w:r w:rsidR="00CD3C3E">
        <w:t>‘injury rate denominators’ following)</w:t>
      </w:r>
      <w:r w:rsidR="00C86576" w:rsidRPr="00E77A9F">
        <w:t xml:space="preserve">. </w:t>
      </w:r>
      <w:r w:rsidR="00C86576" w:rsidRPr="00DA31F6">
        <w:t xml:space="preserve">The magnitude of this adjustment is approximately half the </w:t>
      </w:r>
      <w:r w:rsidR="00F43B6E">
        <w:t>magnitude</w:t>
      </w:r>
      <w:r w:rsidR="00C86576" w:rsidRPr="00DA31F6">
        <w:t xml:space="preserve"> of the multiple job holder adjustment</w:t>
      </w:r>
      <w:r w:rsidR="00C86576">
        <w:t xml:space="preserve"> applied in the injury </w:t>
      </w:r>
      <w:r w:rsidR="007C4FD3">
        <w:t xml:space="preserve">rate </w:t>
      </w:r>
      <w:r w:rsidR="00C86576">
        <w:t>denominator</w:t>
      </w:r>
      <w:r w:rsidR="007C4FD3">
        <w:t>s</w:t>
      </w:r>
      <w:r w:rsidR="00C86576">
        <w:t xml:space="preserve"> estimation process,</w:t>
      </w:r>
      <w:r w:rsidR="00C86576" w:rsidRPr="00DA31F6">
        <w:t xml:space="preserve"> which results in an increase to the </w:t>
      </w:r>
      <w:r w:rsidR="007C4FD3">
        <w:t xml:space="preserve">number of employee jobs </w:t>
      </w:r>
      <w:r w:rsidR="00C86576" w:rsidRPr="00DA31F6">
        <w:t xml:space="preserve">of </w:t>
      </w:r>
      <w:r w:rsidR="00C86576">
        <w:t>around</w:t>
      </w:r>
      <w:r w:rsidR="00C86576" w:rsidRPr="00DA31F6">
        <w:t xml:space="preserve"> 5.8%.</w:t>
      </w:r>
    </w:p>
    <w:p w14:paraId="38381A38" w14:textId="43E7F4E6" w:rsidR="00694FF1" w:rsidRDefault="00C064E8" w:rsidP="00694FF1">
      <w:r>
        <w:t>A</w:t>
      </w:r>
      <w:r w:rsidR="00C86576">
        <w:t xml:space="preserve">nalysis of ABS </w:t>
      </w:r>
      <w:r w:rsidR="00C86576">
        <w:rPr>
          <w:i/>
          <w:iCs/>
        </w:rPr>
        <w:t xml:space="preserve">Working Arrangements </w:t>
      </w:r>
      <w:r w:rsidR="00C86576" w:rsidRPr="006328CA">
        <w:t>data</w:t>
      </w:r>
      <w:r w:rsidR="007B5B5F">
        <w:rPr>
          <w:rStyle w:val="FootnoteReference"/>
        </w:rPr>
        <w:footnoteReference w:id="2"/>
      </w:r>
      <w:r w:rsidR="00C86576">
        <w:t xml:space="preserve"> shows that the independent contractors are not </w:t>
      </w:r>
      <w:r w:rsidR="007C4FD3">
        <w:t>evenly</w:t>
      </w:r>
      <w:r w:rsidR="00C86576">
        <w:t xml:space="preserve"> distributed across age </w:t>
      </w:r>
      <w:r w:rsidR="006328CA">
        <w:t xml:space="preserve">groups </w:t>
      </w:r>
      <w:r w:rsidR="00C86576">
        <w:t>and sex</w:t>
      </w:r>
      <w:r w:rsidR="005F3659">
        <w:t xml:space="preserve">. </w:t>
      </w:r>
      <w:r w:rsidR="005146C7">
        <w:t xml:space="preserve">Men (11%) are more likely to be </w:t>
      </w:r>
      <w:r w:rsidR="00994788">
        <w:t>working as an independent contractor than women (5%)</w:t>
      </w:r>
      <w:r w:rsidR="0010738E">
        <w:t xml:space="preserve">, and workers in older age groups </w:t>
      </w:r>
      <w:r w:rsidR="00F673B8">
        <w:t>are increasingly likely to be working as independent contractors</w:t>
      </w:r>
      <w:r w:rsidR="00994788">
        <w:t>.</w:t>
      </w:r>
      <w:r w:rsidR="00491A42">
        <w:t xml:space="preserve"> </w:t>
      </w:r>
      <w:r w:rsidR="00694FF1">
        <w:t xml:space="preserve">However, independent contractors are distributed equally in relative terms across the states and territories. </w:t>
      </w:r>
    </w:p>
    <w:p w14:paraId="29C06E5E" w14:textId="60346BCF" w:rsidR="001C1328" w:rsidRDefault="00FB16E2" w:rsidP="00C86576">
      <w:r>
        <w:lastRenderedPageBreak/>
        <w:t xml:space="preserve">Differences are more pronounced </w:t>
      </w:r>
      <w:r w:rsidR="00F51C54">
        <w:t xml:space="preserve">for </w:t>
      </w:r>
      <w:r w:rsidR="00C064E8">
        <w:t xml:space="preserve">certain </w:t>
      </w:r>
      <w:r w:rsidR="00491A42">
        <w:t xml:space="preserve">occupation </w:t>
      </w:r>
      <w:r w:rsidR="00546E49">
        <w:t>groups</w:t>
      </w:r>
      <w:r w:rsidR="00F51C54">
        <w:t xml:space="preserve"> and industry divisions. At the occupation </w:t>
      </w:r>
      <w:r w:rsidR="00C27E8D">
        <w:t xml:space="preserve">major group </w:t>
      </w:r>
      <w:r w:rsidR="00F51C54">
        <w:t>level</w:t>
      </w:r>
      <w:r w:rsidR="00546E49">
        <w:t xml:space="preserve">, </w:t>
      </w:r>
      <w:r w:rsidR="00491A42">
        <w:t>Technicians and trade workers, Labourers, Machinery operators and drivers and Professionals</w:t>
      </w:r>
      <w:r w:rsidR="00546E49">
        <w:t xml:space="preserve"> </w:t>
      </w:r>
      <w:r w:rsidR="005A16C9">
        <w:t>have higher proportions of their workforce as</w:t>
      </w:r>
      <w:r w:rsidR="00546E49">
        <w:t xml:space="preserve"> independent contractors, </w:t>
      </w:r>
      <w:r w:rsidR="00345EFD">
        <w:t>whilst</w:t>
      </w:r>
      <w:r w:rsidR="00F51C54">
        <w:t xml:space="preserve"> at the industry</w:t>
      </w:r>
      <w:r w:rsidR="007C4FD3">
        <w:t xml:space="preserve"> division</w:t>
      </w:r>
      <w:r w:rsidR="00F51C54">
        <w:t xml:space="preserve"> level,</w:t>
      </w:r>
      <w:r w:rsidR="005E014B">
        <w:t xml:space="preserve"> Construction, Administrative and support services, and Professional, scientific and technical services</w:t>
      </w:r>
      <w:r w:rsidR="00501132">
        <w:t xml:space="preserve"> had the highest proportions of their workforce as independent contractors</w:t>
      </w:r>
      <w:r w:rsidR="00491A42">
        <w:t>.</w:t>
      </w:r>
    </w:p>
    <w:p w14:paraId="4CEA3C00" w14:textId="2EFB0196" w:rsidR="00C86576" w:rsidRDefault="00501132" w:rsidP="00C86576">
      <w:r>
        <w:t xml:space="preserve">These </w:t>
      </w:r>
      <w:r w:rsidR="00067289">
        <w:t>characteristics reflect where impacts from the change to the injury denominator process may be more pronounced.</w:t>
      </w:r>
    </w:p>
    <w:p w14:paraId="510CA311" w14:textId="7F5CE298" w:rsidR="00C86576" w:rsidRPr="00BD427B" w:rsidRDefault="00C86576" w:rsidP="00262B87">
      <w:pPr>
        <w:pStyle w:val="Heading2"/>
        <w:tabs>
          <w:tab w:val="clear" w:pos="425"/>
        </w:tabs>
      </w:pPr>
      <w:bookmarkStart w:id="3" w:name="_Toc142398314"/>
      <w:r w:rsidRPr="00BD427B">
        <w:t>Labour Hire Adjustment</w:t>
      </w:r>
      <w:bookmarkEnd w:id="3"/>
    </w:p>
    <w:p w14:paraId="36528FD5" w14:textId="7CC3A72F" w:rsidR="00F343E1" w:rsidRDefault="00C86576" w:rsidP="00C86576">
      <w:pPr>
        <w:spacing w:before="120"/>
      </w:pPr>
      <w:r>
        <w:t xml:space="preserve">For </w:t>
      </w:r>
      <w:r w:rsidR="00F343E1">
        <w:t>workers</w:t>
      </w:r>
      <w:r>
        <w:t xml:space="preserve"> who are employed through labour hire agencies</w:t>
      </w:r>
      <w:r w:rsidR="007C4FD3">
        <w:t>,</w:t>
      </w:r>
      <w:r>
        <w:t xml:space="preserve"> but undertake their work in other industries, an adjustment needs to be made to ensure that the injury</w:t>
      </w:r>
      <w:r w:rsidR="00271AAD">
        <w:t xml:space="preserve"> rate</w:t>
      </w:r>
      <w:r>
        <w:t xml:space="preserve"> denominators reflect the industry of the claim in which the work-related injury or illness occurred.</w:t>
      </w:r>
    </w:p>
    <w:p w14:paraId="04D5D0F3" w14:textId="1D2DB796" w:rsidR="000B4B02" w:rsidRDefault="000B4B02" w:rsidP="00C86576">
      <w:pPr>
        <w:spacing w:before="120"/>
      </w:pPr>
      <w:r>
        <w:t xml:space="preserve">Recent developments in ABS labour market statistics have enabled </w:t>
      </w:r>
      <w:r w:rsidR="00E356C7">
        <w:t xml:space="preserve">improved capturing of </w:t>
      </w:r>
      <w:r w:rsidR="007C4FD3">
        <w:t xml:space="preserve">employment in </w:t>
      </w:r>
      <w:r w:rsidR="00E356C7">
        <w:t>this form of working arrangement. The injury</w:t>
      </w:r>
      <w:r w:rsidR="007C4FD3">
        <w:t xml:space="preserve"> rate</w:t>
      </w:r>
      <w:r w:rsidR="00E356C7">
        <w:t xml:space="preserve"> denominator</w:t>
      </w:r>
      <w:r w:rsidR="007C4FD3">
        <w:t>s</w:t>
      </w:r>
      <w:r w:rsidR="00E356C7">
        <w:t xml:space="preserve"> process has been updated to account for th</w:t>
      </w:r>
      <w:r w:rsidR="0013421C">
        <w:t>is quality gain.</w:t>
      </w:r>
    </w:p>
    <w:p w14:paraId="025E0B52" w14:textId="0A759D32" w:rsidR="00B3475E" w:rsidRDefault="007C4FD3" w:rsidP="00BA7CE4">
      <w:pPr>
        <w:spacing w:before="120"/>
      </w:pPr>
      <w:r>
        <w:t xml:space="preserve">Analysis of ABS </w:t>
      </w:r>
      <w:r>
        <w:rPr>
          <w:i/>
          <w:iCs/>
        </w:rPr>
        <w:t xml:space="preserve">Working Arrangements </w:t>
      </w:r>
      <w:r>
        <w:t>data shows that l</w:t>
      </w:r>
      <w:r w:rsidR="0013421C">
        <w:t xml:space="preserve">abour hire workers are more likely to be employed </w:t>
      </w:r>
      <w:r w:rsidR="006C191F">
        <w:t xml:space="preserve">in the Administrative and support services, Mining, </w:t>
      </w:r>
      <w:r w:rsidR="00BA7CE4">
        <w:t xml:space="preserve">Public administration and safety and Education and training industries. </w:t>
      </w:r>
    </w:p>
    <w:p w14:paraId="5D1C3FA9" w14:textId="77777777" w:rsidR="00B3475E" w:rsidRDefault="00B3475E">
      <w:pPr>
        <w:spacing w:after="200" w:line="276" w:lineRule="auto"/>
      </w:pPr>
      <w:r>
        <w:br w:type="page"/>
      </w:r>
    </w:p>
    <w:p w14:paraId="62053980" w14:textId="1462E80F" w:rsidR="00C86576" w:rsidRDefault="00C86576" w:rsidP="00C86576">
      <w:pPr>
        <w:pStyle w:val="Heading1"/>
      </w:pPr>
      <w:bookmarkStart w:id="4" w:name="_Toc142398315"/>
      <w:r>
        <w:lastRenderedPageBreak/>
        <w:t>Impact Analysis</w:t>
      </w:r>
      <w:bookmarkEnd w:id="4"/>
    </w:p>
    <w:p w14:paraId="1487E5D1" w14:textId="438DAAAA" w:rsidR="00C86576" w:rsidRPr="006C428B" w:rsidRDefault="00C86576" w:rsidP="00AA5959">
      <w:r>
        <w:t>The</w:t>
      </w:r>
      <w:r w:rsidR="004E49DD">
        <w:t xml:space="preserve"> combined</w:t>
      </w:r>
      <w:r>
        <w:t xml:space="preserve"> impact of these changes </w:t>
      </w:r>
      <w:r w:rsidR="001A1AD7">
        <w:t>on the injury</w:t>
      </w:r>
      <w:r>
        <w:t xml:space="preserve"> </w:t>
      </w:r>
      <w:r w:rsidR="007C4FD3">
        <w:t xml:space="preserve">rate </w:t>
      </w:r>
      <w:r>
        <w:t xml:space="preserve">denominators is </w:t>
      </w:r>
      <w:r w:rsidR="001A1AD7">
        <w:t xml:space="preserve">discussed in this section. The figures quoted represent the difference between the </w:t>
      </w:r>
      <w:r w:rsidR="007C4FD3">
        <w:t xml:space="preserve">work-related </w:t>
      </w:r>
      <w:r w:rsidR="00820F31">
        <w:t>injury</w:t>
      </w:r>
      <w:r>
        <w:t xml:space="preserve"> frequency and inciden</w:t>
      </w:r>
      <w:r w:rsidR="00820F31">
        <w:t>ce</w:t>
      </w:r>
      <w:r>
        <w:t xml:space="preserve"> rates</w:t>
      </w:r>
      <w:r w:rsidR="00820F31">
        <w:t xml:space="preserve"> </w:t>
      </w:r>
      <w:r w:rsidR="00C73BE0">
        <w:t>calculated using</w:t>
      </w:r>
      <w:r w:rsidR="00820F31">
        <w:t xml:space="preserve"> the historical process, and the injury rates resulting from adjustments to the scope </w:t>
      </w:r>
      <w:r w:rsidR="00CC500F">
        <w:t xml:space="preserve">to </w:t>
      </w:r>
      <w:r w:rsidR="00D0407F">
        <w:t>remove</w:t>
      </w:r>
      <w:r w:rsidR="00CC500F">
        <w:t xml:space="preserve"> independent contractors</w:t>
      </w:r>
      <w:r w:rsidR="00D0407F">
        <w:t xml:space="preserve"> and improve labour hire worker estimation</w:t>
      </w:r>
      <w:r>
        <w:t xml:space="preserve">. </w:t>
      </w:r>
      <w:r w:rsidR="00CC500F">
        <w:t xml:space="preserve">Parallel estimates </w:t>
      </w:r>
      <w:r w:rsidR="00AA5959">
        <w:t xml:space="preserve">were provided </w:t>
      </w:r>
      <w:r>
        <w:t xml:space="preserve">for the </w:t>
      </w:r>
      <w:r w:rsidR="00AA5959">
        <w:t>most recent</w:t>
      </w:r>
      <w:r>
        <w:t xml:space="preserve"> four years </w:t>
      </w:r>
      <w:r w:rsidR="00AA5959">
        <w:t xml:space="preserve">of data only, </w:t>
      </w:r>
      <w:r>
        <w:t>covering the key breakdowns of industry, occupation, state, age groups and sex.</w:t>
      </w:r>
      <w:r w:rsidR="00C73BE0">
        <w:t xml:space="preserve"> This was due to data availability and the complexity of the adjustment process </w:t>
      </w:r>
      <w:r w:rsidR="00E31743">
        <w:t>implemented.</w:t>
      </w:r>
    </w:p>
    <w:p w14:paraId="6E6A6767" w14:textId="2802AF61" w:rsidR="00661872" w:rsidRPr="00661872" w:rsidRDefault="00661872" w:rsidP="00661872">
      <w:pPr>
        <w:pStyle w:val="Heading2"/>
        <w:numPr>
          <w:ilvl w:val="1"/>
          <w:numId w:val="28"/>
        </w:numPr>
        <w:tabs>
          <w:tab w:val="clear" w:pos="425"/>
        </w:tabs>
      </w:pPr>
      <w:r w:rsidRPr="00661872">
        <w:t>Key findings</w:t>
      </w:r>
    </w:p>
    <w:p w14:paraId="686C3362" w14:textId="2155AA13" w:rsidR="00B15F99" w:rsidRPr="001310AA" w:rsidRDefault="00B15F99" w:rsidP="00B15F99">
      <w:pPr>
        <w:pStyle w:val="NumberingSWA"/>
        <w:numPr>
          <w:ilvl w:val="0"/>
          <w:numId w:val="0"/>
        </w:numPr>
      </w:pPr>
      <w:r w:rsidRPr="001310AA">
        <w:t>Implementing the change</w:t>
      </w:r>
      <w:r w:rsidR="005614BB" w:rsidRPr="001310AA">
        <w:t>s</w:t>
      </w:r>
      <w:r w:rsidRPr="001310AA">
        <w:t xml:space="preserve"> to the injury denominators process has a minor overall impact on the frequency and incidence rates for work-related injuries and illnesses. </w:t>
      </w:r>
    </w:p>
    <w:p w14:paraId="19FC2B0B" w14:textId="77777777" w:rsidR="00B15F99" w:rsidRPr="001310AA" w:rsidRDefault="00B15F99" w:rsidP="00B15F99">
      <w:pPr>
        <w:pStyle w:val="NumberingSWA"/>
        <w:numPr>
          <w:ilvl w:val="0"/>
          <w:numId w:val="0"/>
        </w:numPr>
      </w:pPr>
      <w:r w:rsidRPr="001310AA">
        <w:t>Injury frequency rates are impacted by 3.7% overall, the average figure across the four years of data for which comparisons can be made.</w:t>
      </w:r>
    </w:p>
    <w:p w14:paraId="283E85AD" w14:textId="5A7333BA" w:rsidR="005614BB" w:rsidRPr="001310AA" w:rsidRDefault="005614BB" w:rsidP="005614BB">
      <w:pPr>
        <w:pStyle w:val="NumberingSWA"/>
        <w:numPr>
          <w:ilvl w:val="0"/>
          <w:numId w:val="0"/>
        </w:numPr>
      </w:pPr>
      <w:r w:rsidRPr="001310AA">
        <w:t xml:space="preserve">This difference is </w:t>
      </w:r>
      <w:r w:rsidR="00661872">
        <w:t xml:space="preserve">reasonably </w:t>
      </w:r>
      <w:r w:rsidRPr="001310AA">
        <w:t xml:space="preserve">consistent across </w:t>
      </w:r>
      <w:r w:rsidR="007C4FD3">
        <w:t>states and territories</w:t>
      </w:r>
      <w:r w:rsidR="00C27E8D" w:rsidRPr="001310AA">
        <w:t xml:space="preserve"> </w:t>
      </w:r>
      <w:r w:rsidR="00661872">
        <w:t xml:space="preserve">(see table 1) </w:t>
      </w:r>
      <w:r w:rsidR="00C27E8D" w:rsidRPr="001310AA">
        <w:t>and occupation major groups</w:t>
      </w:r>
      <w:r w:rsidRPr="001310AA">
        <w:t xml:space="preserve">. </w:t>
      </w:r>
    </w:p>
    <w:p w14:paraId="1D33B9E0" w14:textId="6CDFA4E9" w:rsidR="005614BB" w:rsidRPr="001310AA" w:rsidRDefault="005614BB" w:rsidP="005614BB">
      <w:pPr>
        <w:pStyle w:val="Caption"/>
        <w:spacing w:after="120"/>
        <w:jc w:val="center"/>
        <w:rPr>
          <w:i/>
          <w:iCs/>
          <w:color w:val="404040" w:themeColor="text1" w:themeTint="BF"/>
          <w:szCs w:val="20"/>
          <w:u w:val="single"/>
        </w:rPr>
      </w:pPr>
      <w:r w:rsidRPr="001310AA">
        <w:rPr>
          <w:color w:val="404040" w:themeColor="text1" w:themeTint="BF"/>
          <w:szCs w:val="20"/>
          <w:u w:val="single"/>
        </w:rPr>
        <w:t xml:space="preserve">Table </w:t>
      </w:r>
      <w:r w:rsidRPr="001310AA">
        <w:rPr>
          <w:i/>
          <w:iCs/>
          <w:color w:val="404040" w:themeColor="text1" w:themeTint="BF"/>
          <w:szCs w:val="20"/>
          <w:u w:val="single"/>
        </w:rPr>
        <w:fldChar w:fldCharType="begin"/>
      </w:r>
      <w:r w:rsidRPr="001310AA">
        <w:rPr>
          <w:color w:val="404040" w:themeColor="text1" w:themeTint="BF"/>
          <w:szCs w:val="20"/>
          <w:u w:val="single"/>
        </w:rPr>
        <w:instrText xml:space="preserve"> SEQ Table \* ARABIC </w:instrText>
      </w:r>
      <w:r w:rsidRPr="001310AA">
        <w:rPr>
          <w:i/>
          <w:iCs/>
          <w:color w:val="404040" w:themeColor="text1" w:themeTint="BF"/>
          <w:szCs w:val="20"/>
          <w:u w:val="single"/>
        </w:rPr>
        <w:fldChar w:fldCharType="separate"/>
      </w:r>
      <w:r w:rsidRPr="001310AA">
        <w:rPr>
          <w:noProof/>
          <w:color w:val="404040" w:themeColor="text1" w:themeTint="BF"/>
          <w:szCs w:val="20"/>
          <w:u w:val="single"/>
        </w:rPr>
        <w:t>1</w:t>
      </w:r>
      <w:r w:rsidRPr="001310AA">
        <w:rPr>
          <w:i/>
          <w:iCs/>
          <w:noProof/>
          <w:color w:val="404040" w:themeColor="text1" w:themeTint="BF"/>
          <w:szCs w:val="20"/>
          <w:u w:val="single"/>
        </w:rPr>
        <w:fldChar w:fldCharType="end"/>
      </w:r>
      <w:r w:rsidRPr="001310AA">
        <w:rPr>
          <w:color w:val="404040" w:themeColor="text1" w:themeTint="BF"/>
          <w:szCs w:val="20"/>
          <w:u w:val="single"/>
        </w:rPr>
        <w:t xml:space="preserve"> - Average difference </w:t>
      </w:r>
      <w:r w:rsidR="00E56D06">
        <w:rPr>
          <w:color w:val="404040" w:themeColor="text1" w:themeTint="BF"/>
          <w:szCs w:val="20"/>
          <w:u w:val="single"/>
        </w:rPr>
        <w:t xml:space="preserve">over four years </w:t>
      </w:r>
      <w:r w:rsidRPr="001310AA">
        <w:rPr>
          <w:color w:val="404040" w:themeColor="text1" w:themeTint="BF"/>
          <w:szCs w:val="20"/>
          <w:u w:val="single"/>
        </w:rPr>
        <w:t>in injury frequency rate</w:t>
      </w:r>
      <w:r w:rsidR="00D0407F" w:rsidRPr="001310AA">
        <w:rPr>
          <w:color w:val="404040" w:themeColor="text1" w:themeTint="BF"/>
          <w:szCs w:val="20"/>
          <w:u w:val="single"/>
        </w:rPr>
        <w:t>, by state or territory</w:t>
      </w:r>
    </w:p>
    <w:tbl>
      <w:tblPr>
        <w:tblW w:w="3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960"/>
      </w:tblGrid>
      <w:tr w:rsidR="005614BB" w:rsidRPr="001310AA" w14:paraId="1330E52C" w14:textId="77777777" w:rsidTr="007B6D23">
        <w:trPr>
          <w:trHeight w:val="300"/>
          <w:jc w:val="center"/>
        </w:trPr>
        <w:tc>
          <w:tcPr>
            <w:tcW w:w="2929" w:type="dxa"/>
            <w:shd w:val="clear" w:color="auto" w:fill="auto"/>
            <w:noWrap/>
            <w:vAlign w:val="bottom"/>
            <w:hideMark/>
          </w:tcPr>
          <w:p w14:paraId="646E88D6" w14:textId="77777777" w:rsidR="005614BB" w:rsidRPr="001310AA" w:rsidRDefault="005614BB" w:rsidP="007B6D23">
            <w:pPr>
              <w:spacing w:after="0"/>
              <w:rPr>
                <w:rFonts w:eastAsia="Times New Roman" w:cs="Arial"/>
                <w:szCs w:val="20"/>
                <w:lang w:eastAsia="en-AU"/>
              </w:rPr>
            </w:pPr>
            <w:r w:rsidRPr="001310AA">
              <w:rPr>
                <w:rFonts w:eastAsia="Times New Roman" w:cs="Arial"/>
                <w:szCs w:val="20"/>
                <w:lang w:eastAsia="en-AU"/>
              </w:rPr>
              <w:t>New South Wales</w:t>
            </w:r>
          </w:p>
        </w:tc>
        <w:tc>
          <w:tcPr>
            <w:tcW w:w="960" w:type="dxa"/>
            <w:shd w:val="clear" w:color="auto" w:fill="auto"/>
            <w:noWrap/>
            <w:vAlign w:val="bottom"/>
            <w:hideMark/>
          </w:tcPr>
          <w:p w14:paraId="7F845800" w14:textId="77777777" w:rsidR="005614BB" w:rsidRPr="001310AA" w:rsidRDefault="005614BB" w:rsidP="007B6D23">
            <w:pPr>
              <w:spacing w:after="0"/>
              <w:jc w:val="right"/>
              <w:rPr>
                <w:rFonts w:eastAsia="Times New Roman" w:cs="Arial"/>
                <w:szCs w:val="20"/>
                <w:lang w:eastAsia="en-AU"/>
              </w:rPr>
            </w:pPr>
            <w:r w:rsidRPr="001310AA">
              <w:rPr>
                <w:rFonts w:eastAsia="Times New Roman" w:cs="Arial"/>
                <w:szCs w:val="20"/>
                <w:lang w:eastAsia="en-AU"/>
              </w:rPr>
              <w:t>3.6%</w:t>
            </w:r>
          </w:p>
        </w:tc>
      </w:tr>
      <w:tr w:rsidR="005614BB" w:rsidRPr="001310AA" w14:paraId="23758B01" w14:textId="77777777" w:rsidTr="007B6D23">
        <w:trPr>
          <w:trHeight w:val="300"/>
          <w:jc w:val="center"/>
        </w:trPr>
        <w:tc>
          <w:tcPr>
            <w:tcW w:w="2929" w:type="dxa"/>
            <w:shd w:val="clear" w:color="auto" w:fill="auto"/>
            <w:noWrap/>
            <w:vAlign w:val="bottom"/>
            <w:hideMark/>
          </w:tcPr>
          <w:p w14:paraId="55D4957C" w14:textId="77777777" w:rsidR="005614BB" w:rsidRPr="001310AA" w:rsidRDefault="005614BB" w:rsidP="007B6D23">
            <w:pPr>
              <w:spacing w:after="0"/>
              <w:rPr>
                <w:rFonts w:eastAsia="Times New Roman" w:cs="Arial"/>
                <w:szCs w:val="20"/>
                <w:lang w:eastAsia="en-AU"/>
              </w:rPr>
            </w:pPr>
            <w:r w:rsidRPr="001310AA">
              <w:rPr>
                <w:rFonts w:eastAsia="Times New Roman" w:cs="Arial"/>
                <w:szCs w:val="20"/>
                <w:lang w:eastAsia="en-AU"/>
              </w:rPr>
              <w:t>Victoria</w:t>
            </w:r>
          </w:p>
        </w:tc>
        <w:tc>
          <w:tcPr>
            <w:tcW w:w="960" w:type="dxa"/>
            <w:shd w:val="clear" w:color="auto" w:fill="auto"/>
            <w:noWrap/>
            <w:vAlign w:val="bottom"/>
            <w:hideMark/>
          </w:tcPr>
          <w:p w14:paraId="5777A158" w14:textId="77777777" w:rsidR="005614BB" w:rsidRPr="001310AA" w:rsidRDefault="005614BB" w:rsidP="007B6D23">
            <w:pPr>
              <w:spacing w:after="0"/>
              <w:jc w:val="right"/>
              <w:rPr>
                <w:rFonts w:eastAsia="Times New Roman" w:cs="Arial"/>
                <w:szCs w:val="20"/>
                <w:lang w:eastAsia="en-AU"/>
              </w:rPr>
            </w:pPr>
            <w:r w:rsidRPr="001310AA">
              <w:rPr>
                <w:rFonts w:eastAsia="Times New Roman" w:cs="Arial"/>
                <w:szCs w:val="20"/>
                <w:lang w:eastAsia="en-AU"/>
              </w:rPr>
              <w:t>3.1%</w:t>
            </w:r>
          </w:p>
        </w:tc>
      </w:tr>
      <w:tr w:rsidR="005614BB" w:rsidRPr="001310AA" w14:paraId="62192112" w14:textId="77777777" w:rsidTr="007B6D23">
        <w:trPr>
          <w:trHeight w:val="300"/>
          <w:jc w:val="center"/>
        </w:trPr>
        <w:tc>
          <w:tcPr>
            <w:tcW w:w="2929" w:type="dxa"/>
            <w:shd w:val="clear" w:color="auto" w:fill="auto"/>
            <w:noWrap/>
            <w:vAlign w:val="bottom"/>
            <w:hideMark/>
          </w:tcPr>
          <w:p w14:paraId="6F627DA0" w14:textId="77777777" w:rsidR="005614BB" w:rsidRPr="001310AA" w:rsidRDefault="005614BB" w:rsidP="007B6D23">
            <w:pPr>
              <w:spacing w:after="0"/>
              <w:rPr>
                <w:rFonts w:eastAsia="Times New Roman" w:cs="Arial"/>
                <w:szCs w:val="20"/>
                <w:lang w:eastAsia="en-AU"/>
              </w:rPr>
            </w:pPr>
            <w:r w:rsidRPr="001310AA">
              <w:rPr>
                <w:rFonts w:eastAsia="Times New Roman" w:cs="Arial"/>
                <w:szCs w:val="20"/>
                <w:lang w:eastAsia="en-AU"/>
              </w:rPr>
              <w:t>Queensland</w:t>
            </w:r>
          </w:p>
        </w:tc>
        <w:tc>
          <w:tcPr>
            <w:tcW w:w="960" w:type="dxa"/>
            <w:shd w:val="clear" w:color="auto" w:fill="auto"/>
            <w:noWrap/>
            <w:vAlign w:val="bottom"/>
            <w:hideMark/>
          </w:tcPr>
          <w:p w14:paraId="307A6248" w14:textId="77777777" w:rsidR="005614BB" w:rsidRPr="001310AA" w:rsidRDefault="005614BB" w:rsidP="007B6D23">
            <w:pPr>
              <w:spacing w:after="0"/>
              <w:jc w:val="right"/>
              <w:rPr>
                <w:rFonts w:eastAsia="Times New Roman" w:cs="Arial"/>
                <w:szCs w:val="20"/>
                <w:lang w:eastAsia="en-AU"/>
              </w:rPr>
            </w:pPr>
            <w:r w:rsidRPr="001310AA">
              <w:rPr>
                <w:rFonts w:eastAsia="Times New Roman" w:cs="Arial"/>
                <w:szCs w:val="20"/>
                <w:lang w:eastAsia="en-AU"/>
              </w:rPr>
              <w:t>3.9%</w:t>
            </w:r>
          </w:p>
        </w:tc>
      </w:tr>
      <w:tr w:rsidR="005614BB" w:rsidRPr="001310AA" w14:paraId="0D36BB64" w14:textId="77777777" w:rsidTr="007B6D23">
        <w:trPr>
          <w:trHeight w:val="300"/>
          <w:jc w:val="center"/>
        </w:trPr>
        <w:tc>
          <w:tcPr>
            <w:tcW w:w="2929" w:type="dxa"/>
            <w:shd w:val="clear" w:color="auto" w:fill="auto"/>
            <w:noWrap/>
            <w:vAlign w:val="bottom"/>
            <w:hideMark/>
          </w:tcPr>
          <w:p w14:paraId="7916A33A" w14:textId="77777777" w:rsidR="005614BB" w:rsidRPr="001310AA" w:rsidRDefault="005614BB" w:rsidP="007B6D23">
            <w:pPr>
              <w:spacing w:after="0"/>
              <w:rPr>
                <w:rFonts w:eastAsia="Times New Roman" w:cs="Arial"/>
                <w:szCs w:val="20"/>
                <w:lang w:eastAsia="en-AU"/>
              </w:rPr>
            </w:pPr>
            <w:r w:rsidRPr="001310AA">
              <w:rPr>
                <w:rFonts w:eastAsia="Times New Roman" w:cs="Arial"/>
                <w:szCs w:val="20"/>
                <w:lang w:eastAsia="en-AU"/>
              </w:rPr>
              <w:t>South Australia</w:t>
            </w:r>
          </w:p>
        </w:tc>
        <w:tc>
          <w:tcPr>
            <w:tcW w:w="960" w:type="dxa"/>
            <w:shd w:val="clear" w:color="auto" w:fill="auto"/>
            <w:noWrap/>
            <w:vAlign w:val="bottom"/>
            <w:hideMark/>
          </w:tcPr>
          <w:p w14:paraId="7480D34A" w14:textId="77777777" w:rsidR="005614BB" w:rsidRPr="001310AA" w:rsidRDefault="005614BB" w:rsidP="007B6D23">
            <w:pPr>
              <w:spacing w:after="0"/>
              <w:jc w:val="right"/>
              <w:rPr>
                <w:rFonts w:eastAsia="Times New Roman" w:cs="Arial"/>
                <w:szCs w:val="20"/>
                <w:lang w:eastAsia="en-AU"/>
              </w:rPr>
            </w:pPr>
            <w:r w:rsidRPr="001310AA">
              <w:rPr>
                <w:rFonts w:eastAsia="Times New Roman" w:cs="Arial"/>
                <w:szCs w:val="20"/>
                <w:lang w:eastAsia="en-AU"/>
              </w:rPr>
              <w:t>2.8%</w:t>
            </w:r>
          </w:p>
        </w:tc>
      </w:tr>
      <w:tr w:rsidR="005614BB" w:rsidRPr="001310AA" w14:paraId="086D44A0" w14:textId="77777777" w:rsidTr="007B6D23">
        <w:trPr>
          <w:trHeight w:val="300"/>
          <w:jc w:val="center"/>
        </w:trPr>
        <w:tc>
          <w:tcPr>
            <w:tcW w:w="2929" w:type="dxa"/>
            <w:shd w:val="clear" w:color="auto" w:fill="auto"/>
            <w:noWrap/>
            <w:vAlign w:val="bottom"/>
            <w:hideMark/>
          </w:tcPr>
          <w:p w14:paraId="07BFA866" w14:textId="77777777" w:rsidR="005614BB" w:rsidRPr="001310AA" w:rsidRDefault="005614BB" w:rsidP="007B6D23">
            <w:pPr>
              <w:spacing w:after="0"/>
              <w:rPr>
                <w:rFonts w:eastAsia="Times New Roman" w:cs="Arial"/>
                <w:szCs w:val="20"/>
                <w:lang w:eastAsia="en-AU"/>
              </w:rPr>
            </w:pPr>
            <w:r w:rsidRPr="001310AA">
              <w:rPr>
                <w:rFonts w:eastAsia="Times New Roman" w:cs="Arial"/>
                <w:szCs w:val="20"/>
                <w:lang w:eastAsia="en-AU"/>
              </w:rPr>
              <w:t>Western Australia</w:t>
            </w:r>
          </w:p>
        </w:tc>
        <w:tc>
          <w:tcPr>
            <w:tcW w:w="960" w:type="dxa"/>
            <w:shd w:val="clear" w:color="auto" w:fill="auto"/>
            <w:noWrap/>
            <w:vAlign w:val="bottom"/>
            <w:hideMark/>
          </w:tcPr>
          <w:p w14:paraId="5EAC05F4" w14:textId="77777777" w:rsidR="005614BB" w:rsidRPr="001310AA" w:rsidRDefault="005614BB" w:rsidP="007B6D23">
            <w:pPr>
              <w:spacing w:after="0"/>
              <w:jc w:val="right"/>
              <w:rPr>
                <w:rFonts w:eastAsia="Times New Roman" w:cs="Arial"/>
                <w:szCs w:val="20"/>
                <w:lang w:eastAsia="en-AU"/>
              </w:rPr>
            </w:pPr>
            <w:r w:rsidRPr="001310AA">
              <w:rPr>
                <w:rFonts w:eastAsia="Times New Roman" w:cs="Arial"/>
                <w:szCs w:val="20"/>
                <w:lang w:eastAsia="en-AU"/>
              </w:rPr>
              <w:t>4.1%</w:t>
            </w:r>
          </w:p>
        </w:tc>
      </w:tr>
      <w:tr w:rsidR="005614BB" w:rsidRPr="001310AA" w14:paraId="3386B5BE" w14:textId="77777777" w:rsidTr="007B6D23">
        <w:trPr>
          <w:trHeight w:val="300"/>
          <w:jc w:val="center"/>
        </w:trPr>
        <w:tc>
          <w:tcPr>
            <w:tcW w:w="2929" w:type="dxa"/>
            <w:shd w:val="clear" w:color="auto" w:fill="auto"/>
            <w:noWrap/>
            <w:vAlign w:val="bottom"/>
            <w:hideMark/>
          </w:tcPr>
          <w:p w14:paraId="62EE5F93" w14:textId="77777777" w:rsidR="005614BB" w:rsidRPr="001310AA" w:rsidRDefault="005614BB" w:rsidP="007B6D23">
            <w:pPr>
              <w:spacing w:after="0"/>
              <w:rPr>
                <w:rFonts w:eastAsia="Times New Roman" w:cs="Arial"/>
                <w:szCs w:val="20"/>
                <w:lang w:eastAsia="en-AU"/>
              </w:rPr>
            </w:pPr>
            <w:r w:rsidRPr="001310AA">
              <w:rPr>
                <w:rFonts w:eastAsia="Times New Roman" w:cs="Arial"/>
                <w:szCs w:val="20"/>
                <w:lang w:eastAsia="en-AU"/>
              </w:rPr>
              <w:t>Tasmania</w:t>
            </w:r>
          </w:p>
        </w:tc>
        <w:tc>
          <w:tcPr>
            <w:tcW w:w="960" w:type="dxa"/>
            <w:shd w:val="clear" w:color="auto" w:fill="auto"/>
            <w:noWrap/>
            <w:vAlign w:val="bottom"/>
            <w:hideMark/>
          </w:tcPr>
          <w:p w14:paraId="6DD5861B" w14:textId="77777777" w:rsidR="005614BB" w:rsidRPr="001310AA" w:rsidRDefault="005614BB" w:rsidP="007B6D23">
            <w:pPr>
              <w:spacing w:after="0"/>
              <w:jc w:val="right"/>
              <w:rPr>
                <w:rFonts w:eastAsia="Times New Roman" w:cs="Arial"/>
                <w:szCs w:val="20"/>
                <w:lang w:eastAsia="en-AU"/>
              </w:rPr>
            </w:pPr>
            <w:r w:rsidRPr="001310AA">
              <w:rPr>
                <w:rFonts w:eastAsia="Times New Roman" w:cs="Arial"/>
                <w:szCs w:val="20"/>
                <w:lang w:eastAsia="en-AU"/>
              </w:rPr>
              <w:t>3.2%</w:t>
            </w:r>
          </w:p>
        </w:tc>
      </w:tr>
      <w:tr w:rsidR="005614BB" w:rsidRPr="001310AA" w14:paraId="2E292DE2" w14:textId="77777777" w:rsidTr="007B6D23">
        <w:trPr>
          <w:trHeight w:val="300"/>
          <w:jc w:val="center"/>
        </w:trPr>
        <w:tc>
          <w:tcPr>
            <w:tcW w:w="2929" w:type="dxa"/>
            <w:shd w:val="clear" w:color="auto" w:fill="auto"/>
            <w:noWrap/>
            <w:vAlign w:val="bottom"/>
            <w:hideMark/>
          </w:tcPr>
          <w:p w14:paraId="51F6FE48" w14:textId="77777777" w:rsidR="005614BB" w:rsidRPr="001310AA" w:rsidRDefault="005614BB" w:rsidP="007B6D23">
            <w:pPr>
              <w:spacing w:after="0"/>
              <w:rPr>
                <w:rFonts w:eastAsia="Times New Roman" w:cs="Arial"/>
                <w:szCs w:val="20"/>
                <w:lang w:eastAsia="en-AU"/>
              </w:rPr>
            </w:pPr>
            <w:r w:rsidRPr="001310AA">
              <w:rPr>
                <w:rFonts w:eastAsia="Times New Roman" w:cs="Arial"/>
                <w:szCs w:val="20"/>
                <w:lang w:eastAsia="en-AU"/>
              </w:rPr>
              <w:t>Northern Territory</w:t>
            </w:r>
          </w:p>
        </w:tc>
        <w:tc>
          <w:tcPr>
            <w:tcW w:w="960" w:type="dxa"/>
            <w:shd w:val="clear" w:color="auto" w:fill="auto"/>
            <w:noWrap/>
            <w:vAlign w:val="bottom"/>
            <w:hideMark/>
          </w:tcPr>
          <w:p w14:paraId="0B85FC35" w14:textId="77777777" w:rsidR="005614BB" w:rsidRPr="001310AA" w:rsidRDefault="005614BB" w:rsidP="007B6D23">
            <w:pPr>
              <w:spacing w:after="0"/>
              <w:jc w:val="right"/>
              <w:rPr>
                <w:rFonts w:eastAsia="Times New Roman" w:cs="Arial"/>
                <w:szCs w:val="20"/>
                <w:lang w:eastAsia="en-AU"/>
              </w:rPr>
            </w:pPr>
            <w:r w:rsidRPr="001310AA">
              <w:rPr>
                <w:rFonts w:eastAsia="Times New Roman" w:cs="Arial"/>
                <w:szCs w:val="20"/>
                <w:lang w:eastAsia="en-AU"/>
              </w:rPr>
              <w:t>3.6%</w:t>
            </w:r>
          </w:p>
        </w:tc>
      </w:tr>
      <w:tr w:rsidR="005614BB" w:rsidRPr="001310AA" w14:paraId="5BDA5F9F" w14:textId="77777777" w:rsidTr="007B6D23">
        <w:trPr>
          <w:trHeight w:val="300"/>
          <w:jc w:val="center"/>
        </w:trPr>
        <w:tc>
          <w:tcPr>
            <w:tcW w:w="2929" w:type="dxa"/>
            <w:shd w:val="clear" w:color="auto" w:fill="auto"/>
            <w:noWrap/>
            <w:vAlign w:val="bottom"/>
            <w:hideMark/>
          </w:tcPr>
          <w:p w14:paraId="7CD20C84" w14:textId="77777777" w:rsidR="005614BB" w:rsidRPr="001310AA" w:rsidRDefault="005614BB" w:rsidP="007B6D23">
            <w:pPr>
              <w:spacing w:after="0"/>
              <w:rPr>
                <w:rFonts w:eastAsia="Times New Roman" w:cs="Arial"/>
                <w:szCs w:val="20"/>
                <w:lang w:eastAsia="en-AU"/>
              </w:rPr>
            </w:pPr>
            <w:r w:rsidRPr="001310AA">
              <w:rPr>
                <w:rFonts w:eastAsia="Times New Roman" w:cs="Arial"/>
                <w:szCs w:val="20"/>
                <w:lang w:eastAsia="en-AU"/>
              </w:rPr>
              <w:t>Australian Capital Territory</w:t>
            </w:r>
          </w:p>
        </w:tc>
        <w:tc>
          <w:tcPr>
            <w:tcW w:w="960" w:type="dxa"/>
            <w:shd w:val="clear" w:color="auto" w:fill="auto"/>
            <w:noWrap/>
            <w:vAlign w:val="bottom"/>
            <w:hideMark/>
          </w:tcPr>
          <w:p w14:paraId="213726DB" w14:textId="77777777" w:rsidR="005614BB" w:rsidRPr="001310AA" w:rsidRDefault="005614BB" w:rsidP="007B6D23">
            <w:pPr>
              <w:spacing w:after="0"/>
              <w:jc w:val="right"/>
              <w:rPr>
                <w:rFonts w:eastAsia="Times New Roman" w:cs="Arial"/>
                <w:szCs w:val="20"/>
                <w:lang w:eastAsia="en-AU"/>
              </w:rPr>
            </w:pPr>
            <w:r w:rsidRPr="001310AA">
              <w:rPr>
                <w:rFonts w:eastAsia="Times New Roman" w:cs="Arial"/>
                <w:szCs w:val="20"/>
                <w:lang w:eastAsia="en-AU"/>
              </w:rPr>
              <w:t>4.9%</w:t>
            </w:r>
          </w:p>
        </w:tc>
      </w:tr>
    </w:tbl>
    <w:p w14:paraId="6C192F2D" w14:textId="77777777" w:rsidR="005614BB" w:rsidRPr="001310AA" w:rsidRDefault="005614BB" w:rsidP="005614BB">
      <w:pPr>
        <w:pStyle w:val="NumberingSWA"/>
        <w:numPr>
          <w:ilvl w:val="0"/>
          <w:numId w:val="0"/>
        </w:numPr>
      </w:pPr>
    </w:p>
    <w:p w14:paraId="019B094E" w14:textId="77777777" w:rsidR="005614BB" w:rsidRPr="001310AA" w:rsidRDefault="005614BB" w:rsidP="005614BB">
      <w:pPr>
        <w:pStyle w:val="NumberingSWA"/>
        <w:numPr>
          <w:ilvl w:val="0"/>
          <w:numId w:val="0"/>
        </w:numPr>
      </w:pPr>
      <w:r w:rsidRPr="001310AA">
        <w:t xml:space="preserve">Larger differences are observed in breakdowns where there are concentrations of workers engaged by labour hire firms or working as independent contractors. </w:t>
      </w:r>
    </w:p>
    <w:p w14:paraId="33C0A571" w14:textId="77777777" w:rsidR="005614BB" w:rsidRPr="001310AA" w:rsidRDefault="005614BB" w:rsidP="005614BB">
      <w:pPr>
        <w:pStyle w:val="NumberingSWA"/>
        <w:numPr>
          <w:ilvl w:val="0"/>
          <w:numId w:val="0"/>
        </w:numPr>
      </w:pPr>
      <w:r w:rsidRPr="001310AA">
        <w:t xml:space="preserve">For example, men are much more likely than women to be working as independent contractors and for labour hire firms, and as a result the average impact on injury frequency rates for men (5.3%) is larger than for women (1.4%). </w:t>
      </w:r>
    </w:p>
    <w:p w14:paraId="3B0626EF" w14:textId="70778DDD" w:rsidR="009211FD" w:rsidRPr="001310AA" w:rsidRDefault="009211FD" w:rsidP="009211FD">
      <w:pPr>
        <w:pStyle w:val="NumberingSWA"/>
        <w:numPr>
          <w:ilvl w:val="0"/>
          <w:numId w:val="0"/>
        </w:numPr>
      </w:pPr>
      <w:r w:rsidRPr="001310AA">
        <w:t xml:space="preserve">Further, at the industry division level, Mining, </w:t>
      </w:r>
      <w:r w:rsidR="007C4FD3">
        <w:t>E</w:t>
      </w:r>
      <w:r w:rsidRPr="001310AA">
        <w:t xml:space="preserve">lectricity, gas, water and waste services, Administrative and support services, and </w:t>
      </w:r>
      <w:r w:rsidR="007C4FD3">
        <w:t>Construction</w:t>
      </w:r>
      <w:r w:rsidRPr="001310AA">
        <w:t xml:space="preserve"> </w:t>
      </w:r>
      <w:r w:rsidR="007C4FD3">
        <w:t>experienced</w:t>
      </w:r>
      <w:r w:rsidRPr="001310AA">
        <w:t xml:space="preserve"> the largest impacts to injury rates</w:t>
      </w:r>
      <w:r w:rsidR="007C4FD3">
        <w:t xml:space="preserve"> (see table 2)</w:t>
      </w:r>
      <w:r w:rsidRPr="001310AA">
        <w:t>.</w:t>
      </w:r>
    </w:p>
    <w:p w14:paraId="5BE4D0FF" w14:textId="740AC0C7" w:rsidR="00661872" w:rsidRPr="001310AA" w:rsidRDefault="00661872" w:rsidP="00661872">
      <w:pPr>
        <w:pStyle w:val="Caption"/>
        <w:spacing w:after="120"/>
        <w:jc w:val="center"/>
        <w:rPr>
          <w:i/>
          <w:iCs/>
          <w:color w:val="404040" w:themeColor="text1" w:themeTint="BF"/>
          <w:szCs w:val="20"/>
          <w:u w:val="single"/>
        </w:rPr>
      </w:pPr>
      <w:r w:rsidRPr="001310AA">
        <w:rPr>
          <w:color w:val="404040" w:themeColor="text1" w:themeTint="BF"/>
          <w:szCs w:val="20"/>
          <w:u w:val="single"/>
        </w:rPr>
        <w:t xml:space="preserve">Table </w:t>
      </w:r>
      <w:r w:rsidRPr="00661872">
        <w:rPr>
          <w:color w:val="404040" w:themeColor="text1" w:themeTint="BF"/>
          <w:szCs w:val="20"/>
          <w:u w:val="single"/>
        </w:rPr>
        <w:t>2</w:t>
      </w:r>
      <w:r w:rsidRPr="001310AA">
        <w:rPr>
          <w:color w:val="404040" w:themeColor="text1" w:themeTint="BF"/>
          <w:szCs w:val="20"/>
          <w:u w:val="single"/>
        </w:rPr>
        <w:t xml:space="preserve"> </w:t>
      </w:r>
      <w:r w:rsidR="00E56D06">
        <w:rPr>
          <w:color w:val="404040" w:themeColor="text1" w:themeTint="BF"/>
          <w:szCs w:val="20"/>
          <w:u w:val="single"/>
        </w:rPr>
        <w:t>–</w:t>
      </w:r>
      <w:r w:rsidRPr="001310AA">
        <w:rPr>
          <w:color w:val="404040" w:themeColor="text1" w:themeTint="BF"/>
          <w:szCs w:val="20"/>
          <w:u w:val="single"/>
        </w:rPr>
        <w:t xml:space="preserve"> </w:t>
      </w:r>
      <w:r w:rsidR="00E56D06">
        <w:rPr>
          <w:color w:val="404040" w:themeColor="text1" w:themeTint="BF"/>
          <w:szCs w:val="20"/>
          <w:u w:val="single"/>
        </w:rPr>
        <w:t>Average d</w:t>
      </w:r>
      <w:r w:rsidRPr="001310AA">
        <w:rPr>
          <w:color w:val="404040" w:themeColor="text1" w:themeTint="BF"/>
          <w:szCs w:val="20"/>
          <w:u w:val="single"/>
        </w:rPr>
        <w:t>ifference</w:t>
      </w:r>
      <w:r w:rsidR="00E56D06">
        <w:rPr>
          <w:color w:val="404040" w:themeColor="text1" w:themeTint="BF"/>
          <w:szCs w:val="20"/>
          <w:u w:val="single"/>
        </w:rPr>
        <w:t xml:space="preserve"> over four years</w:t>
      </w:r>
      <w:r w:rsidRPr="001310AA">
        <w:rPr>
          <w:color w:val="404040" w:themeColor="text1" w:themeTint="BF"/>
          <w:szCs w:val="20"/>
          <w:u w:val="single"/>
        </w:rPr>
        <w:t xml:space="preserve"> in injury frequency rate, by </w:t>
      </w:r>
      <w:r w:rsidR="00D973B7">
        <w:rPr>
          <w:color w:val="404040" w:themeColor="text1" w:themeTint="BF"/>
          <w:szCs w:val="20"/>
          <w:u w:val="single"/>
        </w:rPr>
        <w:t>industry</w:t>
      </w:r>
    </w:p>
    <w:tbl>
      <w:tblPr>
        <w:tblW w:w="5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2"/>
        <w:gridCol w:w="960"/>
      </w:tblGrid>
      <w:tr w:rsidR="00661872" w:rsidRPr="001310AA" w14:paraId="3BEB222B" w14:textId="77777777" w:rsidTr="00D973B7">
        <w:trPr>
          <w:trHeight w:val="300"/>
          <w:jc w:val="center"/>
        </w:trPr>
        <w:tc>
          <w:tcPr>
            <w:tcW w:w="4352" w:type="dxa"/>
            <w:shd w:val="clear" w:color="auto" w:fill="auto"/>
            <w:noWrap/>
            <w:vAlign w:val="bottom"/>
            <w:hideMark/>
          </w:tcPr>
          <w:p w14:paraId="7432B2AE" w14:textId="4270FFFC" w:rsidR="00661872" w:rsidRPr="001310AA" w:rsidRDefault="00D973B7" w:rsidP="007B6D23">
            <w:pPr>
              <w:spacing w:after="0"/>
              <w:rPr>
                <w:rFonts w:eastAsia="Times New Roman" w:cs="Arial"/>
                <w:szCs w:val="20"/>
                <w:lang w:eastAsia="en-AU"/>
              </w:rPr>
            </w:pPr>
            <w:r>
              <w:rPr>
                <w:rFonts w:eastAsia="Times New Roman" w:cs="Arial"/>
                <w:szCs w:val="20"/>
                <w:lang w:eastAsia="en-AU"/>
              </w:rPr>
              <w:t>Agriculture, forestry and fishing</w:t>
            </w:r>
          </w:p>
        </w:tc>
        <w:tc>
          <w:tcPr>
            <w:tcW w:w="960" w:type="dxa"/>
            <w:shd w:val="clear" w:color="auto" w:fill="auto"/>
            <w:noWrap/>
            <w:vAlign w:val="bottom"/>
            <w:hideMark/>
          </w:tcPr>
          <w:p w14:paraId="57FDBA91" w14:textId="7769A5BE" w:rsidR="00661872" w:rsidRPr="001310AA" w:rsidRDefault="00B666DD" w:rsidP="007B6D23">
            <w:pPr>
              <w:spacing w:after="0"/>
              <w:jc w:val="right"/>
              <w:rPr>
                <w:rFonts w:eastAsia="Times New Roman" w:cs="Arial"/>
                <w:szCs w:val="20"/>
                <w:lang w:eastAsia="en-AU"/>
              </w:rPr>
            </w:pPr>
            <w:r>
              <w:rPr>
                <w:rFonts w:eastAsia="Times New Roman" w:cs="Arial"/>
                <w:szCs w:val="20"/>
                <w:lang w:eastAsia="en-AU"/>
              </w:rPr>
              <w:t>2.3</w:t>
            </w:r>
            <w:r w:rsidR="00661872" w:rsidRPr="001310AA">
              <w:rPr>
                <w:rFonts w:eastAsia="Times New Roman" w:cs="Arial"/>
                <w:szCs w:val="20"/>
                <w:lang w:eastAsia="en-AU"/>
              </w:rPr>
              <w:t>%</w:t>
            </w:r>
          </w:p>
        </w:tc>
      </w:tr>
      <w:tr w:rsidR="00661872" w:rsidRPr="001310AA" w14:paraId="675DF06A" w14:textId="77777777" w:rsidTr="00D973B7">
        <w:trPr>
          <w:trHeight w:val="300"/>
          <w:jc w:val="center"/>
        </w:trPr>
        <w:tc>
          <w:tcPr>
            <w:tcW w:w="4352" w:type="dxa"/>
            <w:shd w:val="clear" w:color="auto" w:fill="auto"/>
            <w:noWrap/>
            <w:vAlign w:val="bottom"/>
            <w:hideMark/>
          </w:tcPr>
          <w:p w14:paraId="468AAF20" w14:textId="3F75581A" w:rsidR="00661872" w:rsidRPr="001310AA" w:rsidRDefault="00B666DD" w:rsidP="007B6D23">
            <w:pPr>
              <w:spacing w:after="0"/>
              <w:rPr>
                <w:rFonts w:eastAsia="Times New Roman" w:cs="Arial"/>
                <w:szCs w:val="20"/>
                <w:lang w:eastAsia="en-AU"/>
              </w:rPr>
            </w:pPr>
            <w:r>
              <w:rPr>
                <w:rFonts w:eastAsia="Times New Roman" w:cs="Arial"/>
                <w:szCs w:val="20"/>
                <w:lang w:eastAsia="en-AU"/>
              </w:rPr>
              <w:t>Mining</w:t>
            </w:r>
          </w:p>
        </w:tc>
        <w:tc>
          <w:tcPr>
            <w:tcW w:w="960" w:type="dxa"/>
            <w:shd w:val="clear" w:color="auto" w:fill="auto"/>
            <w:noWrap/>
            <w:vAlign w:val="bottom"/>
            <w:hideMark/>
          </w:tcPr>
          <w:p w14:paraId="516D40DB" w14:textId="194199A4" w:rsidR="00661872" w:rsidRPr="001310AA" w:rsidRDefault="00987019" w:rsidP="007B6D23">
            <w:pPr>
              <w:spacing w:after="0"/>
              <w:jc w:val="right"/>
              <w:rPr>
                <w:rFonts w:eastAsia="Times New Roman" w:cs="Arial"/>
                <w:szCs w:val="20"/>
                <w:lang w:eastAsia="en-AU"/>
              </w:rPr>
            </w:pPr>
            <w:r>
              <w:rPr>
                <w:rFonts w:eastAsia="Times New Roman" w:cs="Arial"/>
                <w:szCs w:val="20"/>
                <w:lang w:eastAsia="en-AU"/>
              </w:rPr>
              <w:t>&gt;10%</w:t>
            </w:r>
          </w:p>
        </w:tc>
      </w:tr>
      <w:tr w:rsidR="00661872" w:rsidRPr="001310AA" w14:paraId="64F5822D" w14:textId="77777777" w:rsidTr="00D973B7">
        <w:trPr>
          <w:trHeight w:val="300"/>
          <w:jc w:val="center"/>
        </w:trPr>
        <w:tc>
          <w:tcPr>
            <w:tcW w:w="4352" w:type="dxa"/>
            <w:shd w:val="clear" w:color="auto" w:fill="auto"/>
            <w:noWrap/>
            <w:vAlign w:val="bottom"/>
            <w:hideMark/>
          </w:tcPr>
          <w:p w14:paraId="19DD1110" w14:textId="209589A5" w:rsidR="00661872" w:rsidRPr="001310AA" w:rsidRDefault="00987019" w:rsidP="007B6D23">
            <w:pPr>
              <w:spacing w:after="0"/>
              <w:rPr>
                <w:rFonts w:eastAsia="Times New Roman" w:cs="Arial"/>
                <w:szCs w:val="20"/>
                <w:lang w:eastAsia="en-AU"/>
              </w:rPr>
            </w:pPr>
            <w:r>
              <w:rPr>
                <w:rFonts w:eastAsia="Times New Roman" w:cs="Arial"/>
                <w:szCs w:val="20"/>
                <w:lang w:eastAsia="en-AU"/>
              </w:rPr>
              <w:t>Manufacturing</w:t>
            </w:r>
          </w:p>
        </w:tc>
        <w:tc>
          <w:tcPr>
            <w:tcW w:w="960" w:type="dxa"/>
            <w:shd w:val="clear" w:color="auto" w:fill="auto"/>
            <w:noWrap/>
            <w:vAlign w:val="bottom"/>
            <w:hideMark/>
          </w:tcPr>
          <w:p w14:paraId="50E464A2" w14:textId="0F1514EA" w:rsidR="00661872" w:rsidRPr="001310AA" w:rsidRDefault="00796697" w:rsidP="007B6D23">
            <w:pPr>
              <w:spacing w:after="0"/>
              <w:jc w:val="right"/>
              <w:rPr>
                <w:rFonts w:eastAsia="Times New Roman" w:cs="Arial"/>
                <w:szCs w:val="20"/>
                <w:lang w:eastAsia="en-AU"/>
              </w:rPr>
            </w:pPr>
            <w:r>
              <w:rPr>
                <w:rFonts w:eastAsia="Times New Roman" w:cs="Arial"/>
                <w:szCs w:val="20"/>
                <w:lang w:eastAsia="en-AU"/>
              </w:rPr>
              <w:t>1.8</w:t>
            </w:r>
            <w:r w:rsidR="00661872" w:rsidRPr="001310AA">
              <w:rPr>
                <w:rFonts w:eastAsia="Times New Roman" w:cs="Arial"/>
                <w:szCs w:val="20"/>
                <w:lang w:eastAsia="en-AU"/>
              </w:rPr>
              <w:t>%</w:t>
            </w:r>
          </w:p>
        </w:tc>
      </w:tr>
      <w:tr w:rsidR="00661872" w:rsidRPr="001310AA" w14:paraId="5DAE2F8E" w14:textId="77777777" w:rsidTr="00D973B7">
        <w:trPr>
          <w:trHeight w:val="300"/>
          <w:jc w:val="center"/>
        </w:trPr>
        <w:tc>
          <w:tcPr>
            <w:tcW w:w="4352" w:type="dxa"/>
            <w:shd w:val="clear" w:color="auto" w:fill="auto"/>
            <w:noWrap/>
            <w:vAlign w:val="bottom"/>
            <w:hideMark/>
          </w:tcPr>
          <w:p w14:paraId="398FE4B2" w14:textId="2C19BF55" w:rsidR="00661872" w:rsidRPr="001310AA" w:rsidRDefault="00796697" w:rsidP="007B6D23">
            <w:pPr>
              <w:spacing w:after="0"/>
              <w:rPr>
                <w:rFonts w:eastAsia="Times New Roman" w:cs="Arial"/>
                <w:szCs w:val="20"/>
                <w:lang w:eastAsia="en-AU"/>
              </w:rPr>
            </w:pPr>
            <w:r>
              <w:rPr>
                <w:rFonts w:eastAsia="Times New Roman" w:cs="Arial"/>
                <w:szCs w:val="20"/>
                <w:lang w:eastAsia="en-AU"/>
              </w:rPr>
              <w:t>Electricity, gas, water and waste services</w:t>
            </w:r>
          </w:p>
        </w:tc>
        <w:tc>
          <w:tcPr>
            <w:tcW w:w="960" w:type="dxa"/>
            <w:shd w:val="clear" w:color="auto" w:fill="auto"/>
            <w:noWrap/>
            <w:vAlign w:val="bottom"/>
            <w:hideMark/>
          </w:tcPr>
          <w:p w14:paraId="60454D2A" w14:textId="001EA6EB" w:rsidR="00661872" w:rsidRPr="001310AA" w:rsidRDefault="00E346F9" w:rsidP="007B6D23">
            <w:pPr>
              <w:spacing w:after="0"/>
              <w:jc w:val="right"/>
              <w:rPr>
                <w:rFonts w:eastAsia="Times New Roman" w:cs="Arial"/>
                <w:szCs w:val="20"/>
                <w:lang w:eastAsia="en-AU"/>
              </w:rPr>
            </w:pPr>
            <w:r>
              <w:rPr>
                <w:rFonts w:eastAsia="Times New Roman" w:cs="Arial"/>
                <w:szCs w:val="20"/>
                <w:lang w:eastAsia="en-AU"/>
              </w:rPr>
              <w:t>&gt;10</w:t>
            </w:r>
            <w:r w:rsidR="00661872" w:rsidRPr="001310AA">
              <w:rPr>
                <w:rFonts w:eastAsia="Times New Roman" w:cs="Arial"/>
                <w:szCs w:val="20"/>
                <w:lang w:eastAsia="en-AU"/>
              </w:rPr>
              <w:t>%</w:t>
            </w:r>
          </w:p>
        </w:tc>
      </w:tr>
      <w:tr w:rsidR="00661872" w:rsidRPr="001310AA" w14:paraId="2D27597C" w14:textId="77777777" w:rsidTr="00D973B7">
        <w:trPr>
          <w:trHeight w:val="300"/>
          <w:jc w:val="center"/>
        </w:trPr>
        <w:tc>
          <w:tcPr>
            <w:tcW w:w="4352" w:type="dxa"/>
            <w:shd w:val="clear" w:color="auto" w:fill="auto"/>
            <w:noWrap/>
            <w:vAlign w:val="bottom"/>
            <w:hideMark/>
          </w:tcPr>
          <w:p w14:paraId="7E63389E" w14:textId="1787B931" w:rsidR="00661872" w:rsidRPr="001310AA" w:rsidRDefault="00E346F9" w:rsidP="007B6D23">
            <w:pPr>
              <w:spacing w:after="0"/>
              <w:rPr>
                <w:rFonts w:eastAsia="Times New Roman" w:cs="Arial"/>
                <w:szCs w:val="20"/>
                <w:lang w:eastAsia="en-AU"/>
              </w:rPr>
            </w:pPr>
            <w:r>
              <w:rPr>
                <w:rFonts w:eastAsia="Times New Roman" w:cs="Arial"/>
                <w:szCs w:val="20"/>
                <w:lang w:eastAsia="en-AU"/>
              </w:rPr>
              <w:t>Construction</w:t>
            </w:r>
          </w:p>
        </w:tc>
        <w:tc>
          <w:tcPr>
            <w:tcW w:w="960" w:type="dxa"/>
            <w:shd w:val="clear" w:color="auto" w:fill="auto"/>
            <w:noWrap/>
            <w:vAlign w:val="bottom"/>
            <w:hideMark/>
          </w:tcPr>
          <w:p w14:paraId="3F800407" w14:textId="23823A2F" w:rsidR="00661872" w:rsidRPr="001310AA" w:rsidRDefault="00E346F9" w:rsidP="007B6D23">
            <w:pPr>
              <w:spacing w:after="0"/>
              <w:jc w:val="right"/>
              <w:rPr>
                <w:rFonts w:eastAsia="Times New Roman" w:cs="Arial"/>
                <w:szCs w:val="20"/>
                <w:lang w:eastAsia="en-AU"/>
              </w:rPr>
            </w:pPr>
            <w:r>
              <w:rPr>
                <w:rFonts w:eastAsia="Times New Roman" w:cs="Arial"/>
                <w:szCs w:val="20"/>
                <w:lang w:eastAsia="en-AU"/>
              </w:rPr>
              <w:t>&gt;10</w:t>
            </w:r>
            <w:r w:rsidR="00661872" w:rsidRPr="001310AA">
              <w:rPr>
                <w:rFonts w:eastAsia="Times New Roman" w:cs="Arial"/>
                <w:szCs w:val="20"/>
                <w:lang w:eastAsia="en-AU"/>
              </w:rPr>
              <w:t>%</w:t>
            </w:r>
          </w:p>
        </w:tc>
      </w:tr>
      <w:tr w:rsidR="00661872" w:rsidRPr="001310AA" w14:paraId="65C0CD14" w14:textId="77777777" w:rsidTr="00D973B7">
        <w:trPr>
          <w:trHeight w:val="300"/>
          <w:jc w:val="center"/>
        </w:trPr>
        <w:tc>
          <w:tcPr>
            <w:tcW w:w="4352" w:type="dxa"/>
            <w:shd w:val="clear" w:color="auto" w:fill="auto"/>
            <w:noWrap/>
            <w:vAlign w:val="bottom"/>
            <w:hideMark/>
          </w:tcPr>
          <w:p w14:paraId="59A0B4D3" w14:textId="5CC4AA79" w:rsidR="00661872" w:rsidRPr="001310AA" w:rsidRDefault="005127E2" w:rsidP="007B6D23">
            <w:pPr>
              <w:spacing w:after="0"/>
              <w:rPr>
                <w:rFonts w:eastAsia="Times New Roman" w:cs="Arial"/>
                <w:szCs w:val="20"/>
                <w:lang w:eastAsia="en-AU"/>
              </w:rPr>
            </w:pPr>
            <w:r>
              <w:rPr>
                <w:rFonts w:eastAsia="Times New Roman" w:cs="Arial"/>
                <w:szCs w:val="20"/>
                <w:lang w:eastAsia="en-AU"/>
              </w:rPr>
              <w:t>Wholesale trade</w:t>
            </w:r>
          </w:p>
        </w:tc>
        <w:tc>
          <w:tcPr>
            <w:tcW w:w="960" w:type="dxa"/>
            <w:shd w:val="clear" w:color="auto" w:fill="auto"/>
            <w:noWrap/>
            <w:vAlign w:val="bottom"/>
            <w:hideMark/>
          </w:tcPr>
          <w:p w14:paraId="0545E723" w14:textId="7D99848D" w:rsidR="00661872" w:rsidRPr="001310AA" w:rsidRDefault="005127E2" w:rsidP="007B6D23">
            <w:pPr>
              <w:spacing w:after="0"/>
              <w:jc w:val="right"/>
              <w:rPr>
                <w:rFonts w:eastAsia="Times New Roman" w:cs="Arial"/>
                <w:szCs w:val="20"/>
                <w:lang w:eastAsia="en-AU"/>
              </w:rPr>
            </w:pPr>
            <w:r>
              <w:rPr>
                <w:rFonts w:eastAsia="Times New Roman" w:cs="Arial"/>
                <w:szCs w:val="20"/>
                <w:lang w:eastAsia="en-AU"/>
              </w:rPr>
              <w:t>1.3%</w:t>
            </w:r>
          </w:p>
        </w:tc>
      </w:tr>
      <w:tr w:rsidR="00661872" w:rsidRPr="001310AA" w14:paraId="560B79F6" w14:textId="77777777" w:rsidTr="00D973B7">
        <w:trPr>
          <w:trHeight w:val="300"/>
          <w:jc w:val="center"/>
        </w:trPr>
        <w:tc>
          <w:tcPr>
            <w:tcW w:w="4352" w:type="dxa"/>
            <w:shd w:val="clear" w:color="auto" w:fill="auto"/>
            <w:noWrap/>
            <w:vAlign w:val="bottom"/>
            <w:hideMark/>
          </w:tcPr>
          <w:p w14:paraId="30886E47" w14:textId="45AD80DF" w:rsidR="00661872" w:rsidRPr="001310AA" w:rsidRDefault="005127E2" w:rsidP="007B6D23">
            <w:pPr>
              <w:spacing w:after="0"/>
              <w:rPr>
                <w:rFonts w:eastAsia="Times New Roman" w:cs="Arial"/>
                <w:szCs w:val="20"/>
                <w:lang w:eastAsia="en-AU"/>
              </w:rPr>
            </w:pPr>
            <w:r>
              <w:rPr>
                <w:rFonts w:eastAsia="Times New Roman" w:cs="Arial"/>
                <w:szCs w:val="20"/>
                <w:lang w:eastAsia="en-AU"/>
              </w:rPr>
              <w:t>Retail trade</w:t>
            </w:r>
          </w:p>
        </w:tc>
        <w:tc>
          <w:tcPr>
            <w:tcW w:w="960" w:type="dxa"/>
            <w:shd w:val="clear" w:color="auto" w:fill="auto"/>
            <w:noWrap/>
            <w:vAlign w:val="bottom"/>
            <w:hideMark/>
          </w:tcPr>
          <w:p w14:paraId="7CFB76DA" w14:textId="143861D9" w:rsidR="00661872" w:rsidRPr="001310AA" w:rsidRDefault="005127E2" w:rsidP="007B6D23">
            <w:pPr>
              <w:spacing w:after="0"/>
              <w:jc w:val="right"/>
              <w:rPr>
                <w:rFonts w:eastAsia="Times New Roman" w:cs="Arial"/>
                <w:szCs w:val="20"/>
                <w:lang w:eastAsia="en-AU"/>
              </w:rPr>
            </w:pPr>
            <w:r>
              <w:rPr>
                <w:rFonts w:eastAsia="Times New Roman" w:cs="Arial"/>
                <w:szCs w:val="20"/>
                <w:lang w:eastAsia="en-AU"/>
              </w:rPr>
              <w:t>0.8</w:t>
            </w:r>
            <w:r w:rsidR="00661872" w:rsidRPr="001310AA">
              <w:rPr>
                <w:rFonts w:eastAsia="Times New Roman" w:cs="Arial"/>
                <w:szCs w:val="20"/>
                <w:lang w:eastAsia="en-AU"/>
              </w:rPr>
              <w:t>%</w:t>
            </w:r>
          </w:p>
        </w:tc>
      </w:tr>
      <w:tr w:rsidR="00661872" w:rsidRPr="001310AA" w14:paraId="55AE7AB6" w14:textId="77777777" w:rsidTr="00D973B7">
        <w:trPr>
          <w:trHeight w:val="300"/>
          <w:jc w:val="center"/>
        </w:trPr>
        <w:tc>
          <w:tcPr>
            <w:tcW w:w="4352" w:type="dxa"/>
            <w:shd w:val="clear" w:color="auto" w:fill="auto"/>
            <w:noWrap/>
            <w:vAlign w:val="bottom"/>
            <w:hideMark/>
          </w:tcPr>
          <w:p w14:paraId="1152BA72" w14:textId="5987DEDA" w:rsidR="00661872" w:rsidRPr="001310AA" w:rsidRDefault="005127E2" w:rsidP="007B6D23">
            <w:pPr>
              <w:spacing w:after="0"/>
              <w:rPr>
                <w:rFonts w:eastAsia="Times New Roman" w:cs="Arial"/>
                <w:szCs w:val="20"/>
                <w:lang w:eastAsia="en-AU"/>
              </w:rPr>
            </w:pPr>
            <w:r>
              <w:rPr>
                <w:rFonts w:eastAsia="Times New Roman" w:cs="Arial"/>
                <w:szCs w:val="20"/>
                <w:lang w:eastAsia="en-AU"/>
              </w:rPr>
              <w:t>Accommodation and food services</w:t>
            </w:r>
          </w:p>
        </w:tc>
        <w:tc>
          <w:tcPr>
            <w:tcW w:w="960" w:type="dxa"/>
            <w:shd w:val="clear" w:color="auto" w:fill="auto"/>
            <w:noWrap/>
            <w:vAlign w:val="bottom"/>
            <w:hideMark/>
          </w:tcPr>
          <w:p w14:paraId="2DC7665B" w14:textId="41986BF4" w:rsidR="00661872" w:rsidRPr="001310AA" w:rsidRDefault="00F22BD2" w:rsidP="007B6D23">
            <w:pPr>
              <w:spacing w:after="0"/>
              <w:jc w:val="right"/>
              <w:rPr>
                <w:rFonts w:eastAsia="Times New Roman" w:cs="Arial"/>
                <w:szCs w:val="20"/>
                <w:lang w:eastAsia="en-AU"/>
              </w:rPr>
            </w:pPr>
            <w:r>
              <w:rPr>
                <w:rFonts w:eastAsia="Times New Roman" w:cs="Arial"/>
                <w:szCs w:val="20"/>
                <w:lang w:eastAsia="en-AU"/>
              </w:rPr>
              <w:t>1.3</w:t>
            </w:r>
            <w:r w:rsidR="00661872" w:rsidRPr="001310AA">
              <w:rPr>
                <w:rFonts w:eastAsia="Times New Roman" w:cs="Arial"/>
                <w:szCs w:val="20"/>
                <w:lang w:eastAsia="en-AU"/>
              </w:rPr>
              <w:t>%</w:t>
            </w:r>
          </w:p>
        </w:tc>
      </w:tr>
      <w:tr w:rsidR="00F22BD2" w:rsidRPr="001310AA" w14:paraId="75B2ADF4" w14:textId="77777777" w:rsidTr="00D973B7">
        <w:trPr>
          <w:trHeight w:val="300"/>
          <w:jc w:val="center"/>
        </w:trPr>
        <w:tc>
          <w:tcPr>
            <w:tcW w:w="4352" w:type="dxa"/>
            <w:shd w:val="clear" w:color="auto" w:fill="auto"/>
            <w:noWrap/>
            <w:vAlign w:val="bottom"/>
          </w:tcPr>
          <w:p w14:paraId="7090C7C2" w14:textId="4BD09F3C" w:rsidR="00F22BD2" w:rsidRDefault="00F22BD2" w:rsidP="007B6D23">
            <w:pPr>
              <w:spacing w:after="0"/>
              <w:rPr>
                <w:rFonts w:eastAsia="Times New Roman" w:cs="Arial"/>
                <w:szCs w:val="20"/>
                <w:lang w:eastAsia="en-AU"/>
              </w:rPr>
            </w:pPr>
            <w:r>
              <w:rPr>
                <w:rFonts w:eastAsia="Times New Roman" w:cs="Arial"/>
                <w:szCs w:val="20"/>
                <w:lang w:eastAsia="en-AU"/>
              </w:rPr>
              <w:t>Transport, postal and warehousing</w:t>
            </w:r>
          </w:p>
        </w:tc>
        <w:tc>
          <w:tcPr>
            <w:tcW w:w="960" w:type="dxa"/>
            <w:shd w:val="clear" w:color="auto" w:fill="auto"/>
            <w:noWrap/>
            <w:vAlign w:val="bottom"/>
          </w:tcPr>
          <w:p w14:paraId="7D4C5DAD" w14:textId="45EF2C3D" w:rsidR="00F22BD2" w:rsidRDefault="00D839AC" w:rsidP="007B6D23">
            <w:pPr>
              <w:spacing w:after="0"/>
              <w:jc w:val="right"/>
              <w:rPr>
                <w:rFonts w:eastAsia="Times New Roman" w:cs="Arial"/>
                <w:szCs w:val="20"/>
                <w:lang w:eastAsia="en-AU"/>
              </w:rPr>
            </w:pPr>
            <w:r>
              <w:rPr>
                <w:rFonts w:eastAsia="Times New Roman" w:cs="Arial"/>
                <w:szCs w:val="20"/>
                <w:lang w:eastAsia="en-AU"/>
              </w:rPr>
              <w:t>3.5%</w:t>
            </w:r>
          </w:p>
        </w:tc>
      </w:tr>
      <w:tr w:rsidR="00F22BD2" w:rsidRPr="001310AA" w14:paraId="1A1EF8CB" w14:textId="77777777" w:rsidTr="00D973B7">
        <w:trPr>
          <w:trHeight w:val="300"/>
          <w:jc w:val="center"/>
        </w:trPr>
        <w:tc>
          <w:tcPr>
            <w:tcW w:w="4352" w:type="dxa"/>
            <w:shd w:val="clear" w:color="auto" w:fill="auto"/>
            <w:noWrap/>
            <w:vAlign w:val="bottom"/>
          </w:tcPr>
          <w:p w14:paraId="73B365B7" w14:textId="7A02BC99" w:rsidR="00F22BD2" w:rsidRDefault="00D839AC" w:rsidP="007B6D23">
            <w:pPr>
              <w:spacing w:after="0"/>
              <w:rPr>
                <w:rFonts w:eastAsia="Times New Roman" w:cs="Arial"/>
                <w:szCs w:val="20"/>
                <w:lang w:eastAsia="en-AU"/>
              </w:rPr>
            </w:pPr>
            <w:r>
              <w:rPr>
                <w:rFonts w:eastAsia="Times New Roman" w:cs="Arial"/>
                <w:szCs w:val="20"/>
                <w:lang w:eastAsia="en-AU"/>
              </w:rPr>
              <w:t>Information media and telecommunications</w:t>
            </w:r>
          </w:p>
        </w:tc>
        <w:tc>
          <w:tcPr>
            <w:tcW w:w="960" w:type="dxa"/>
            <w:shd w:val="clear" w:color="auto" w:fill="auto"/>
            <w:noWrap/>
            <w:vAlign w:val="bottom"/>
          </w:tcPr>
          <w:p w14:paraId="4452088E" w14:textId="0B18226E" w:rsidR="00F22BD2" w:rsidRDefault="00D839AC" w:rsidP="007B6D23">
            <w:pPr>
              <w:spacing w:after="0"/>
              <w:jc w:val="right"/>
              <w:rPr>
                <w:rFonts w:eastAsia="Times New Roman" w:cs="Arial"/>
                <w:szCs w:val="20"/>
                <w:lang w:eastAsia="en-AU"/>
              </w:rPr>
            </w:pPr>
            <w:r>
              <w:rPr>
                <w:rFonts w:eastAsia="Times New Roman" w:cs="Arial"/>
                <w:szCs w:val="20"/>
                <w:lang w:eastAsia="en-AU"/>
              </w:rPr>
              <w:t>4.6%</w:t>
            </w:r>
          </w:p>
        </w:tc>
      </w:tr>
      <w:tr w:rsidR="00F22BD2" w:rsidRPr="001310AA" w14:paraId="236BB5B0" w14:textId="77777777" w:rsidTr="00D973B7">
        <w:trPr>
          <w:trHeight w:val="300"/>
          <w:jc w:val="center"/>
        </w:trPr>
        <w:tc>
          <w:tcPr>
            <w:tcW w:w="4352" w:type="dxa"/>
            <w:shd w:val="clear" w:color="auto" w:fill="auto"/>
            <w:noWrap/>
            <w:vAlign w:val="bottom"/>
          </w:tcPr>
          <w:p w14:paraId="1CCF05B8" w14:textId="6D556AB6" w:rsidR="00F22BD2" w:rsidRDefault="00D839AC" w:rsidP="007B6D23">
            <w:pPr>
              <w:spacing w:after="0"/>
              <w:rPr>
                <w:rFonts w:eastAsia="Times New Roman" w:cs="Arial"/>
                <w:szCs w:val="20"/>
                <w:lang w:eastAsia="en-AU"/>
              </w:rPr>
            </w:pPr>
            <w:r>
              <w:rPr>
                <w:rFonts w:eastAsia="Times New Roman" w:cs="Arial"/>
                <w:szCs w:val="20"/>
                <w:lang w:eastAsia="en-AU"/>
              </w:rPr>
              <w:lastRenderedPageBreak/>
              <w:t>Financial and insurance services</w:t>
            </w:r>
          </w:p>
        </w:tc>
        <w:tc>
          <w:tcPr>
            <w:tcW w:w="960" w:type="dxa"/>
            <w:shd w:val="clear" w:color="auto" w:fill="auto"/>
            <w:noWrap/>
            <w:vAlign w:val="bottom"/>
          </w:tcPr>
          <w:p w14:paraId="4D1B17C5" w14:textId="6FE43AD0" w:rsidR="00F22BD2" w:rsidRDefault="00D839AC" w:rsidP="007B6D23">
            <w:pPr>
              <w:spacing w:after="0"/>
              <w:jc w:val="right"/>
              <w:rPr>
                <w:rFonts w:eastAsia="Times New Roman" w:cs="Arial"/>
                <w:szCs w:val="20"/>
                <w:lang w:eastAsia="en-AU"/>
              </w:rPr>
            </w:pPr>
            <w:r>
              <w:rPr>
                <w:rFonts w:eastAsia="Times New Roman" w:cs="Arial"/>
                <w:szCs w:val="20"/>
                <w:lang w:eastAsia="en-AU"/>
              </w:rPr>
              <w:t>1.0%</w:t>
            </w:r>
          </w:p>
        </w:tc>
      </w:tr>
      <w:tr w:rsidR="00F22BD2" w:rsidRPr="001310AA" w14:paraId="6B0E43F6" w14:textId="77777777" w:rsidTr="00D973B7">
        <w:trPr>
          <w:trHeight w:val="300"/>
          <w:jc w:val="center"/>
        </w:trPr>
        <w:tc>
          <w:tcPr>
            <w:tcW w:w="4352" w:type="dxa"/>
            <w:shd w:val="clear" w:color="auto" w:fill="auto"/>
            <w:noWrap/>
            <w:vAlign w:val="bottom"/>
          </w:tcPr>
          <w:p w14:paraId="64D96301" w14:textId="01CFDE7C" w:rsidR="00F22BD2" w:rsidRDefault="00D839AC" w:rsidP="007B6D23">
            <w:pPr>
              <w:spacing w:after="0"/>
              <w:rPr>
                <w:rFonts w:eastAsia="Times New Roman" w:cs="Arial"/>
                <w:szCs w:val="20"/>
                <w:lang w:eastAsia="en-AU"/>
              </w:rPr>
            </w:pPr>
            <w:r>
              <w:rPr>
                <w:rFonts w:eastAsia="Times New Roman" w:cs="Arial"/>
                <w:szCs w:val="20"/>
                <w:lang w:eastAsia="en-AU"/>
              </w:rPr>
              <w:t>Rental, hiring and real estate services</w:t>
            </w:r>
          </w:p>
        </w:tc>
        <w:tc>
          <w:tcPr>
            <w:tcW w:w="960" w:type="dxa"/>
            <w:shd w:val="clear" w:color="auto" w:fill="auto"/>
            <w:noWrap/>
            <w:vAlign w:val="bottom"/>
          </w:tcPr>
          <w:p w14:paraId="02B8151A" w14:textId="1D171911" w:rsidR="00F22BD2" w:rsidRDefault="0030297B" w:rsidP="007B6D23">
            <w:pPr>
              <w:spacing w:after="0"/>
              <w:jc w:val="right"/>
              <w:rPr>
                <w:rFonts w:eastAsia="Times New Roman" w:cs="Arial"/>
                <w:szCs w:val="20"/>
                <w:lang w:eastAsia="en-AU"/>
              </w:rPr>
            </w:pPr>
            <w:r>
              <w:rPr>
                <w:rFonts w:eastAsia="Times New Roman" w:cs="Arial"/>
                <w:szCs w:val="20"/>
                <w:lang w:eastAsia="en-AU"/>
              </w:rPr>
              <w:t>4.3%</w:t>
            </w:r>
          </w:p>
        </w:tc>
      </w:tr>
      <w:tr w:rsidR="00F22BD2" w:rsidRPr="001310AA" w14:paraId="13D62826" w14:textId="77777777" w:rsidTr="00D973B7">
        <w:trPr>
          <w:trHeight w:val="300"/>
          <w:jc w:val="center"/>
        </w:trPr>
        <w:tc>
          <w:tcPr>
            <w:tcW w:w="4352" w:type="dxa"/>
            <w:shd w:val="clear" w:color="auto" w:fill="auto"/>
            <w:noWrap/>
            <w:vAlign w:val="bottom"/>
          </w:tcPr>
          <w:p w14:paraId="15A0108D" w14:textId="76193752" w:rsidR="00F22BD2" w:rsidRDefault="0030297B" w:rsidP="007B6D23">
            <w:pPr>
              <w:spacing w:after="0"/>
              <w:rPr>
                <w:rFonts w:eastAsia="Times New Roman" w:cs="Arial"/>
                <w:szCs w:val="20"/>
                <w:lang w:eastAsia="en-AU"/>
              </w:rPr>
            </w:pPr>
            <w:r>
              <w:rPr>
                <w:rFonts w:eastAsia="Times New Roman" w:cs="Arial"/>
                <w:szCs w:val="20"/>
                <w:lang w:eastAsia="en-AU"/>
              </w:rPr>
              <w:t>Professional, scientific and technical services</w:t>
            </w:r>
          </w:p>
        </w:tc>
        <w:tc>
          <w:tcPr>
            <w:tcW w:w="960" w:type="dxa"/>
            <w:shd w:val="clear" w:color="auto" w:fill="auto"/>
            <w:noWrap/>
            <w:vAlign w:val="bottom"/>
          </w:tcPr>
          <w:p w14:paraId="38A7AE4A" w14:textId="31700BD6" w:rsidR="00F22BD2" w:rsidRDefault="0030297B" w:rsidP="007B6D23">
            <w:pPr>
              <w:spacing w:after="0"/>
              <w:jc w:val="right"/>
              <w:rPr>
                <w:rFonts w:eastAsia="Times New Roman" w:cs="Arial"/>
                <w:szCs w:val="20"/>
                <w:lang w:eastAsia="en-AU"/>
              </w:rPr>
            </w:pPr>
            <w:r>
              <w:rPr>
                <w:rFonts w:eastAsia="Times New Roman" w:cs="Arial"/>
                <w:szCs w:val="20"/>
                <w:lang w:eastAsia="en-AU"/>
              </w:rPr>
              <w:t>5.3%</w:t>
            </w:r>
          </w:p>
        </w:tc>
      </w:tr>
      <w:tr w:rsidR="0030297B" w:rsidRPr="001310AA" w14:paraId="4758079B" w14:textId="77777777" w:rsidTr="00D973B7">
        <w:trPr>
          <w:trHeight w:val="300"/>
          <w:jc w:val="center"/>
        </w:trPr>
        <w:tc>
          <w:tcPr>
            <w:tcW w:w="4352" w:type="dxa"/>
            <w:shd w:val="clear" w:color="auto" w:fill="auto"/>
            <w:noWrap/>
            <w:vAlign w:val="bottom"/>
          </w:tcPr>
          <w:p w14:paraId="29E3F44C" w14:textId="65C7EF3B" w:rsidR="0030297B" w:rsidRDefault="0030297B" w:rsidP="007B6D23">
            <w:pPr>
              <w:spacing w:after="0"/>
              <w:rPr>
                <w:rFonts w:eastAsia="Times New Roman" w:cs="Arial"/>
                <w:szCs w:val="20"/>
                <w:lang w:eastAsia="en-AU"/>
              </w:rPr>
            </w:pPr>
            <w:r>
              <w:rPr>
                <w:rFonts w:eastAsia="Times New Roman" w:cs="Arial"/>
                <w:szCs w:val="20"/>
                <w:lang w:eastAsia="en-AU"/>
              </w:rPr>
              <w:t>Administrative and support services</w:t>
            </w:r>
          </w:p>
        </w:tc>
        <w:tc>
          <w:tcPr>
            <w:tcW w:w="960" w:type="dxa"/>
            <w:shd w:val="clear" w:color="auto" w:fill="auto"/>
            <w:noWrap/>
            <w:vAlign w:val="bottom"/>
          </w:tcPr>
          <w:p w14:paraId="291FE319" w14:textId="121B195E" w:rsidR="0030297B" w:rsidRDefault="001163B7" w:rsidP="007B6D23">
            <w:pPr>
              <w:spacing w:after="0"/>
              <w:jc w:val="right"/>
              <w:rPr>
                <w:rFonts w:eastAsia="Times New Roman" w:cs="Arial"/>
                <w:szCs w:val="20"/>
                <w:lang w:eastAsia="en-AU"/>
              </w:rPr>
            </w:pPr>
            <w:r>
              <w:rPr>
                <w:rFonts w:eastAsia="Times New Roman" w:cs="Arial"/>
                <w:szCs w:val="20"/>
                <w:lang w:eastAsia="en-AU"/>
              </w:rPr>
              <w:t>&gt;10%</w:t>
            </w:r>
          </w:p>
        </w:tc>
      </w:tr>
      <w:tr w:rsidR="0030297B" w:rsidRPr="001310AA" w14:paraId="6FA4FFDF" w14:textId="77777777" w:rsidTr="00D973B7">
        <w:trPr>
          <w:trHeight w:val="300"/>
          <w:jc w:val="center"/>
        </w:trPr>
        <w:tc>
          <w:tcPr>
            <w:tcW w:w="4352" w:type="dxa"/>
            <w:shd w:val="clear" w:color="auto" w:fill="auto"/>
            <w:noWrap/>
            <w:vAlign w:val="bottom"/>
          </w:tcPr>
          <w:p w14:paraId="48C324B4" w14:textId="03751E1E" w:rsidR="0030297B" w:rsidRDefault="001163B7" w:rsidP="007B6D23">
            <w:pPr>
              <w:spacing w:after="0"/>
              <w:rPr>
                <w:rFonts w:eastAsia="Times New Roman" w:cs="Arial"/>
                <w:szCs w:val="20"/>
                <w:lang w:eastAsia="en-AU"/>
              </w:rPr>
            </w:pPr>
            <w:r>
              <w:rPr>
                <w:rFonts w:eastAsia="Times New Roman" w:cs="Arial"/>
                <w:szCs w:val="20"/>
                <w:lang w:eastAsia="en-AU"/>
              </w:rPr>
              <w:t>Public administration and safety</w:t>
            </w:r>
          </w:p>
        </w:tc>
        <w:tc>
          <w:tcPr>
            <w:tcW w:w="960" w:type="dxa"/>
            <w:shd w:val="clear" w:color="auto" w:fill="auto"/>
            <w:noWrap/>
            <w:vAlign w:val="bottom"/>
          </w:tcPr>
          <w:p w14:paraId="0163E06A" w14:textId="1A70C663" w:rsidR="0030297B" w:rsidRDefault="001163B7" w:rsidP="007B6D23">
            <w:pPr>
              <w:spacing w:after="0"/>
              <w:jc w:val="right"/>
              <w:rPr>
                <w:rFonts w:eastAsia="Times New Roman" w:cs="Arial"/>
                <w:szCs w:val="20"/>
                <w:lang w:eastAsia="en-AU"/>
              </w:rPr>
            </w:pPr>
            <w:r>
              <w:rPr>
                <w:rFonts w:eastAsia="Times New Roman" w:cs="Arial"/>
                <w:szCs w:val="20"/>
                <w:lang w:eastAsia="en-AU"/>
              </w:rPr>
              <w:t>9.8%</w:t>
            </w:r>
          </w:p>
        </w:tc>
      </w:tr>
      <w:tr w:rsidR="0030297B" w:rsidRPr="001310AA" w14:paraId="5BA37E2D" w14:textId="77777777" w:rsidTr="00D973B7">
        <w:trPr>
          <w:trHeight w:val="300"/>
          <w:jc w:val="center"/>
        </w:trPr>
        <w:tc>
          <w:tcPr>
            <w:tcW w:w="4352" w:type="dxa"/>
            <w:shd w:val="clear" w:color="auto" w:fill="auto"/>
            <w:noWrap/>
            <w:vAlign w:val="bottom"/>
          </w:tcPr>
          <w:p w14:paraId="285AF05F" w14:textId="75A15501" w:rsidR="0030297B" w:rsidRDefault="001163B7" w:rsidP="007B6D23">
            <w:pPr>
              <w:spacing w:after="0"/>
              <w:rPr>
                <w:rFonts w:eastAsia="Times New Roman" w:cs="Arial"/>
                <w:szCs w:val="20"/>
                <w:lang w:eastAsia="en-AU"/>
              </w:rPr>
            </w:pPr>
            <w:r>
              <w:rPr>
                <w:rFonts w:eastAsia="Times New Roman" w:cs="Arial"/>
                <w:szCs w:val="20"/>
                <w:lang w:eastAsia="en-AU"/>
              </w:rPr>
              <w:t>Education and training</w:t>
            </w:r>
          </w:p>
        </w:tc>
        <w:tc>
          <w:tcPr>
            <w:tcW w:w="960" w:type="dxa"/>
            <w:shd w:val="clear" w:color="auto" w:fill="auto"/>
            <w:noWrap/>
            <w:vAlign w:val="bottom"/>
          </w:tcPr>
          <w:p w14:paraId="43C4454D" w14:textId="705B02C3" w:rsidR="0030297B" w:rsidRDefault="00EB2D51" w:rsidP="007B6D23">
            <w:pPr>
              <w:spacing w:after="0"/>
              <w:jc w:val="right"/>
              <w:rPr>
                <w:rFonts w:eastAsia="Times New Roman" w:cs="Arial"/>
                <w:szCs w:val="20"/>
                <w:lang w:eastAsia="en-AU"/>
              </w:rPr>
            </w:pPr>
            <w:r>
              <w:rPr>
                <w:rFonts w:eastAsia="Times New Roman" w:cs="Arial"/>
                <w:szCs w:val="20"/>
                <w:lang w:eastAsia="en-AU"/>
              </w:rPr>
              <w:t>2.0%</w:t>
            </w:r>
          </w:p>
        </w:tc>
      </w:tr>
      <w:tr w:rsidR="00EB2D51" w:rsidRPr="001310AA" w14:paraId="4055BFD6" w14:textId="77777777" w:rsidTr="00D973B7">
        <w:trPr>
          <w:trHeight w:val="300"/>
          <w:jc w:val="center"/>
        </w:trPr>
        <w:tc>
          <w:tcPr>
            <w:tcW w:w="4352" w:type="dxa"/>
            <w:shd w:val="clear" w:color="auto" w:fill="auto"/>
            <w:noWrap/>
            <w:vAlign w:val="bottom"/>
          </w:tcPr>
          <w:p w14:paraId="495C38B0" w14:textId="577899E9" w:rsidR="00EB2D51" w:rsidRDefault="00EB2D51" w:rsidP="00EB2D51">
            <w:pPr>
              <w:spacing w:after="0"/>
              <w:rPr>
                <w:rFonts w:eastAsia="Times New Roman" w:cs="Arial"/>
                <w:szCs w:val="20"/>
                <w:lang w:eastAsia="en-AU"/>
              </w:rPr>
            </w:pPr>
            <w:r>
              <w:rPr>
                <w:rFonts w:eastAsia="Times New Roman" w:cs="Arial"/>
                <w:szCs w:val="20"/>
                <w:lang w:eastAsia="en-AU"/>
              </w:rPr>
              <w:t>Health care and social assistance</w:t>
            </w:r>
          </w:p>
        </w:tc>
        <w:tc>
          <w:tcPr>
            <w:tcW w:w="960" w:type="dxa"/>
            <w:shd w:val="clear" w:color="auto" w:fill="auto"/>
            <w:noWrap/>
            <w:vAlign w:val="bottom"/>
          </w:tcPr>
          <w:p w14:paraId="71F78928" w14:textId="48B5592F" w:rsidR="00EB2D51" w:rsidRDefault="00EB2D51" w:rsidP="00EB2D51">
            <w:pPr>
              <w:spacing w:after="0"/>
              <w:jc w:val="right"/>
              <w:rPr>
                <w:rFonts w:eastAsia="Times New Roman" w:cs="Arial"/>
                <w:szCs w:val="20"/>
                <w:lang w:eastAsia="en-AU"/>
              </w:rPr>
            </w:pPr>
            <w:r>
              <w:rPr>
                <w:rFonts w:eastAsia="Times New Roman" w:cs="Arial"/>
                <w:szCs w:val="20"/>
                <w:lang w:eastAsia="en-AU"/>
              </w:rPr>
              <w:t>1.3%</w:t>
            </w:r>
          </w:p>
        </w:tc>
      </w:tr>
      <w:tr w:rsidR="00EB2D51" w:rsidRPr="001310AA" w14:paraId="49E2E32D" w14:textId="77777777" w:rsidTr="00D973B7">
        <w:trPr>
          <w:trHeight w:val="300"/>
          <w:jc w:val="center"/>
        </w:trPr>
        <w:tc>
          <w:tcPr>
            <w:tcW w:w="4352" w:type="dxa"/>
            <w:shd w:val="clear" w:color="auto" w:fill="auto"/>
            <w:noWrap/>
            <w:vAlign w:val="bottom"/>
          </w:tcPr>
          <w:p w14:paraId="388AD8AE" w14:textId="7829D583" w:rsidR="00EB2D51" w:rsidRDefault="000C220E" w:rsidP="00EB2D51">
            <w:pPr>
              <w:spacing w:after="0"/>
              <w:rPr>
                <w:rFonts w:eastAsia="Times New Roman" w:cs="Arial"/>
                <w:szCs w:val="20"/>
                <w:lang w:eastAsia="en-AU"/>
              </w:rPr>
            </w:pPr>
            <w:r>
              <w:rPr>
                <w:rFonts w:eastAsia="Times New Roman" w:cs="Arial"/>
                <w:szCs w:val="20"/>
                <w:lang w:eastAsia="en-AU"/>
              </w:rPr>
              <w:t>Arts and recreation services</w:t>
            </w:r>
          </w:p>
        </w:tc>
        <w:tc>
          <w:tcPr>
            <w:tcW w:w="960" w:type="dxa"/>
            <w:shd w:val="clear" w:color="auto" w:fill="auto"/>
            <w:noWrap/>
            <w:vAlign w:val="bottom"/>
          </w:tcPr>
          <w:p w14:paraId="41A74A87" w14:textId="4923D05F" w:rsidR="00EB2D51" w:rsidRDefault="000C220E" w:rsidP="00EB2D51">
            <w:pPr>
              <w:spacing w:after="0"/>
              <w:jc w:val="right"/>
              <w:rPr>
                <w:rFonts w:eastAsia="Times New Roman" w:cs="Arial"/>
                <w:szCs w:val="20"/>
                <w:lang w:eastAsia="en-AU"/>
              </w:rPr>
            </w:pPr>
            <w:r>
              <w:rPr>
                <w:rFonts w:eastAsia="Times New Roman" w:cs="Arial"/>
                <w:szCs w:val="20"/>
                <w:lang w:eastAsia="en-AU"/>
              </w:rPr>
              <w:t>3.0%</w:t>
            </w:r>
          </w:p>
        </w:tc>
      </w:tr>
      <w:tr w:rsidR="00EB2D51" w:rsidRPr="001310AA" w14:paraId="4CC684DF" w14:textId="77777777" w:rsidTr="00D973B7">
        <w:trPr>
          <w:trHeight w:val="300"/>
          <w:jc w:val="center"/>
        </w:trPr>
        <w:tc>
          <w:tcPr>
            <w:tcW w:w="4352" w:type="dxa"/>
            <w:shd w:val="clear" w:color="auto" w:fill="auto"/>
            <w:noWrap/>
            <w:vAlign w:val="bottom"/>
          </w:tcPr>
          <w:p w14:paraId="77542D01" w14:textId="4BF92DF1" w:rsidR="00EB2D51" w:rsidRDefault="00501A31" w:rsidP="00EB2D51">
            <w:pPr>
              <w:spacing w:after="0"/>
              <w:rPr>
                <w:rFonts w:eastAsia="Times New Roman" w:cs="Arial"/>
                <w:szCs w:val="20"/>
                <w:lang w:eastAsia="en-AU"/>
              </w:rPr>
            </w:pPr>
            <w:r>
              <w:rPr>
                <w:rFonts w:eastAsia="Times New Roman" w:cs="Arial"/>
                <w:szCs w:val="20"/>
                <w:lang w:eastAsia="en-AU"/>
              </w:rPr>
              <w:t>Other services</w:t>
            </w:r>
          </w:p>
        </w:tc>
        <w:tc>
          <w:tcPr>
            <w:tcW w:w="960" w:type="dxa"/>
            <w:shd w:val="clear" w:color="auto" w:fill="auto"/>
            <w:noWrap/>
            <w:vAlign w:val="bottom"/>
          </w:tcPr>
          <w:p w14:paraId="734F85A2" w14:textId="2B62F5C7" w:rsidR="00EB2D51" w:rsidRDefault="00501A31" w:rsidP="00EB2D51">
            <w:pPr>
              <w:spacing w:after="0"/>
              <w:jc w:val="right"/>
              <w:rPr>
                <w:rFonts w:eastAsia="Times New Roman" w:cs="Arial"/>
                <w:szCs w:val="20"/>
                <w:lang w:eastAsia="en-AU"/>
              </w:rPr>
            </w:pPr>
            <w:r>
              <w:rPr>
                <w:rFonts w:eastAsia="Times New Roman" w:cs="Arial"/>
                <w:szCs w:val="20"/>
                <w:lang w:eastAsia="en-AU"/>
              </w:rPr>
              <w:t>2.8%</w:t>
            </w:r>
          </w:p>
        </w:tc>
      </w:tr>
    </w:tbl>
    <w:p w14:paraId="45B4BE46" w14:textId="782A5B11" w:rsidR="00C86576" w:rsidRDefault="00C86576" w:rsidP="001310AA">
      <w:pPr>
        <w:spacing w:after="200" w:line="276" w:lineRule="auto"/>
      </w:pPr>
    </w:p>
    <w:p w14:paraId="241ECD41" w14:textId="7837719A" w:rsidR="007C4FD3" w:rsidRDefault="007C4FD3" w:rsidP="007C4FD3">
      <w:pPr>
        <w:pStyle w:val="NumberingSWA"/>
        <w:numPr>
          <w:ilvl w:val="0"/>
          <w:numId w:val="0"/>
        </w:numPr>
      </w:pPr>
      <w:r w:rsidRPr="001310AA">
        <w:t xml:space="preserve">Despite these impacts, the overall distribution of work-related injuries and illnesses remains similar. That is, the makeup of the industries, </w:t>
      </w:r>
      <w:proofErr w:type="gramStart"/>
      <w:r w:rsidRPr="001310AA">
        <w:t>occupations</w:t>
      </w:r>
      <w:proofErr w:type="gramEnd"/>
      <w:r w:rsidRPr="001310AA">
        <w:t xml:space="preserve"> and age groups where work-related injuries or illnesses occurred more frequently under the previous approach is similar to that observed when the changes to the injury </w:t>
      </w:r>
      <w:r>
        <w:t xml:space="preserve">rate </w:t>
      </w:r>
      <w:r w:rsidRPr="001310AA">
        <w:t xml:space="preserve">denominators </w:t>
      </w:r>
      <w:r w:rsidR="005A4D1C">
        <w:t>were</w:t>
      </w:r>
      <w:r w:rsidR="005A4D1C" w:rsidRPr="001310AA">
        <w:t xml:space="preserve"> </w:t>
      </w:r>
      <w:r w:rsidRPr="001310AA">
        <w:t>applied.</w:t>
      </w:r>
    </w:p>
    <w:p w14:paraId="4AE8FA08" w14:textId="6CB9EB28" w:rsidR="00C86576" w:rsidRPr="00CE7EE4" w:rsidRDefault="00C86576" w:rsidP="00C86576">
      <w:pPr>
        <w:pStyle w:val="Heading1"/>
        <w:ind w:right="2778"/>
      </w:pPr>
      <w:bookmarkStart w:id="5" w:name="_Toc142398322"/>
      <w:r>
        <w:t>Implementation</w:t>
      </w:r>
      <w:bookmarkEnd w:id="5"/>
      <w:r w:rsidR="007C4FD3">
        <w:t xml:space="preserve"> in WHS Statistics</w:t>
      </w:r>
    </w:p>
    <w:p w14:paraId="66CCDED1" w14:textId="1BFED1F9" w:rsidR="00C86576" w:rsidRDefault="00B3475E" w:rsidP="00C86576">
      <w:r>
        <w:t>SWA w</w:t>
      </w:r>
      <w:r w:rsidR="00C86576" w:rsidRPr="00CE7EE4">
        <w:t xml:space="preserve">ill not </w:t>
      </w:r>
      <w:proofErr w:type="spellStart"/>
      <w:r w:rsidR="00C86576" w:rsidRPr="00CE7EE4">
        <w:t>backcast</w:t>
      </w:r>
      <w:proofErr w:type="spellEnd"/>
      <w:r w:rsidR="00C86576" w:rsidRPr="00CE7EE4">
        <w:t xml:space="preserve"> the impact of the changes, in consideration of the minor overall impact and the complexity involved with mapping the</w:t>
      </w:r>
      <w:r>
        <w:t xml:space="preserve"> variable</w:t>
      </w:r>
      <w:r w:rsidR="00C86576" w:rsidRPr="00CE7EE4">
        <w:t xml:space="preserve"> impact</w:t>
      </w:r>
      <w:r>
        <w:t>s</w:t>
      </w:r>
      <w:r w:rsidR="00C86576" w:rsidRPr="00CE7EE4">
        <w:t xml:space="preserve"> of the change</w:t>
      </w:r>
      <w:r>
        <w:t xml:space="preserve"> </w:t>
      </w:r>
      <w:r w:rsidR="00C86576" w:rsidRPr="00CE7EE4">
        <w:t xml:space="preserve">across </w:t>
      </w:r>
      <w:r>
        <w:t xml:space="preserve">more detailed breakdowns in </w:t>
      </w:r>
      <w:r w:rsidR="00C86576" w:rsidRPr="00CE7EE4">
        <w:t xml:space="preserve">the structure of </w:t>
      </w:r>
      <w:r>
        <w:t>SWA</w:t>
      </w:r>
      <w:r w:rsidR="00C86576" w:rsidRPr="00CE7EE4">
        <w:t>’s National dataset for compensation-based statistics.</w:t>
      </w:r>
    </w:p>
    <w:p w14:paraId="5C8CF6EE" w14:textId="5B18373C" w:rsidR="00C86576" w:rsidRPr="000748AB" w:rsidRDefault="00C86576" w:rsidP="00C86576">
      <w:pPr>
        <w:rPr>
          <w:sz w:val="24"/>
        </w:rPr>
      </w:pPr>
      <w:r w:rsidRPr="000748AB">
        <w:t xml:space="preserve">For instance, interactions between various categorical variables would also have to be accounted for in the </w:t>
      </w:r>
      <w:proofErr w:type="spellStart"/>
      <w:r w:rsidRPr="000748AB">
        <w:t>backcast</w:t>
      </w:r>
      <w:proofErr w:type="spellEnd"/>
      <w:r w:rsidRPr="000748AB">
        <w:t xml:space="preserve"> methodology since industry, occupation, age and sex are not independent variables</w:t>
      </w:r>
      <w:r w:rsidR="00B3475E">
        <w:t xml:space="preserve">, and any adjustments applied would require further modelling to be applied to </w:t>
      </w:r>
      <w:r w:rsidRPr="000748AB">
        <w:t xml:space="preserve">maintain additivity </w:t>
      </w:r>
      <w:r w:rsidR="00B3475E">
        <w:t>in</w:t>
      </w:r>
      <w:r w:rsidRPr="000748AB">
        <w:t xml:space="preserve"> the data structure. Maintaining (for example) the national level rates without any adjustment, whilst also adjusting certain industries, age groups and sex, is a complex problem.</w:t>
      </w:r>
    </w:p>
    <w:p w14:paraId="74EC1D88" w14:textId="2110C08F" w:rsidR="00C86576" w:rsidRDefault="00C86576" w:rsidP="00C86576">
      <w:r w:rsidRPr="00CE7EE4">
        <w:t xml:space="preserve">Historical data can still be used and interpreted alongside the latest </w:t>
      </w:r>
      <w:r w:rsidR="00B3475E">
        <w:t>injury</w:t>
      </w:r>
      <w:r w:rsidRPr="00CE7EE4">
        <w:t xml:space="preserve"> rates, but users are advised to interpret any differences with caution. </w:t>
      </w:r>
    </w:p>
    <w:p w14:paraId="469636C9" w14:textId="77777777" w:rsidR="007C4FD3" w:rsidRDefault="007C4FD3" w:rsidP="005D4FC1">
      <w:pPr>
        <w:spacing w:after="200" w:line="276" w:lineRule="auto"/>
        <w:rPr>
          <w:rFonts w:cs="Arial"/>
          <w:color w:val="404040" w:themeColor="text1" w:themeTint="BF"/>
          <w:sz w:val="22"/>
          <w:szCs w:val="22"/>
        </w:rPr>
      </w:pPr>
    </w:p>
    <w:p w14:paraId="18CCC0E6" w14:textId="77777777" w:rsidR="00D25ECC" w:rsidRDefault="00D25ECC" w:rsidP="005D4FC1">
      <w:pPr>
        <w:spacing w:after="200" w:line="276" w:lineRule="auto"/>
      </w:pPr>
    </w:p>
    <w:sectPr w:rsidR="00D25ECC" w:rsidSect="005B7E8D">
      <w:headerReference w:type="first" r:id="rId2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673F6" w14:textId="77777777" w:rsidR="007F3E0A" w:rsidRDefault="007F3E0A" w:rsidP="00FB5F0A">
      <w:pPr>
        <w:spacing w:after="0"/>
      </w:pPr>
      <w:r>
        <w:separator/>
      </w:r>
    </w:p>
    <w:p w14:paraId="61BB8925" w14:textId="77777777" w:rsidR="007F3E0A" w:rsidRDefault="007F3E0A"/>
  </w:endnote>
  <w:endnote w:type="continuationSeparator" w:id="0">
    <w:p w14:paraId="14EB2987" w14:textId="77777777" w:rsidR="007F3E0A" w:rsidRDefault="007F3E0A" w:rsidP="00FB5F0A">
      <w:pPr>
        <w:spacing w:after="0"/>
      </w:pPr>
      <w:r>
        <w:continuationSeparator/>
      </w:r>
    </w:p>
    <w:p w14:paraId="1CA4D851" w14:textId="77777777" w:rsidR="007F3E0A" w:rsidRDefault="007F3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0364" w14:textId="77777777" w:rsidR="00EF23D3" w:rsidRDefault="00EF2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4CE8" w14:textId="77777777" w:rsidR="00675C38" w:rsidRPr="00DE38BD" w:rsidRDefault="00B36BA2" w:rsidP="00675C38">
    <w:pPr>
      <w:pStyle w:val="Footer"/>
      <w:rPr>
        <w:b/>
      </w:rPr>
    </w:pPr>
    <w:r>
      <w:rPr>
        <w:b/>
      </w:rPr>
      <w:t>Data</w:t>
    </w:r>
    <w:r w:rsidR="00B77BD6">
      <w:rPr>
        <w:b/>
      </w:rPr>
      <w:t xml:space="preserve"> report</w:t>
    </w:r>
  </w:p>
  <w:p w14:paraId="4EF44163" w14:textId="285EBB1E" w:rsidR="00675C38" w:rsidRPr="00E6439B" w:rsidRDefault="00922FBB" w:rsidP="00675C38">
    <w:pPr>
      <w:pStyle w:val="Footer"/>
      <w:tabs>
        <w:tab w:val="clear" w:pos="4513"/>
      </w:tabs>
      <w:rPr>
        <w:b/>
        <w:bCs/>
      </w:rPr>
    </w:pPr>
    <w:r>
      <w:t>Denominator Review Impact Analysis</w:t>
    </w:r>
    <w:r w:rsidR="00D950E3">
      <w:tab/>
    </w:r>
    <w:r w:rsidR="001B3E20" w:rsidRPr="009335F0">
      <w:rPr>
        <w:b/>
        <w:bCs/>
        <w:sz w:val="18"/>
        <w:szCs w:val="28"/>
      </w:rPr>
      <w:t xml:space="preserve">Page </w:t>
    </w:r>
    <w:r w:rsidR="001B3E20" w:rsidRPr="009335F0">
      <w:rPr>
        <w:b/>
        <w:bCs/>
        <w:sz w:val="18"/>
        <w:szCs w:val="28"/>
      </w:rPr>
      <w:fldChar w:fldCharType="begin"/>
    </w:r>
    <w:r w:rsidR="001B3E20" w:rsidRPr="009335F0">
      <w:rPr>
        <w:b/>
        <w:bCs/>
        <w:sz w:val="18"/>
        <w:szCs w:val="28"/>
      </w:rPr>
      <w:instrText xml:space="preserve"> PAGE  \* Arabic  \* MERGEFORMAT </w:instrText>
    </w:r>
    <w:r w:rsidR="001B3E20" w:rsidRPr="009335F0">
      <w:rPr>
        <w:b/>
        <w:bCs/>
        <w:sz w:val="18"/>
        <w:szCs w:val="28"/>
      </w:rPr>
      <w:fldChar w:fldCharType="separate"/>
    </w:r>
    <w:r w:rsidR="001B3E20">
      <w:rPr>
        <w:b/>
        <w:bCs/>
        <w:sz w:val="18"/>
        <w:szCs w:val="28"/>
      </w:rPr>
      <w:t>4</w:t>
    </w:r>
    <w:r w:rsidR="001B3E20" w:rsidRPr="009335F0">
      <w:rPr>
        <w:b/>
        <w:bCs/>
        <w:sz w:val="18"/>
        <w:szCs w:val="28"/>
      </w:rPr>
      <w:fldChar w:fldCharType="end"/>
    </w:r>
    <w:r w:rsidR="001B3E20" w:rsidRPr="009335F0">
      <w:rPr>
        <w:b/>
        <w:bCs/>
        <w:sz w:val="18"/>
        <w:szCs w:val="28"/>
      </w:rPr>
      <w:t xml:space="preserve"> of </w:t>
    </w:r>
    <w:r w:rsidR="001B3E20" w:rsidRPr="009335F0">
      <w:rPr>
        <w:b/>
        <w:bCs/>
        <w:sz w:val="18"/>
        <w:szCs w:val="28"/>
      </w:rPr>
      <w:fldChar w:fldCharType="begin"/>
    </w:r>
    <w:r w:rsidR="001B3E20" w:rsidRPr="009335F0">
      <w:rPr>
        <w:b/>
        <w:bCs/>
        <w:sz w:val="18"/>
        <w:szCs w:val="28"/>
      </w:rPr>
      <w:instrText xml:space="preserve"> NUMPAGES  \* Arabic  \* MERGEFORMAT </w:instrText>
    </w:r>
    <w:r w:rsidR="001B3E20" w:rsidRPr="009335F0">
      <w:rPr>
        <w:b/>
        <w:bCs/>
        <w:sz w:val="18"/>
        <w:szCs w:val="28"/>
      </w:rPr>
      <w:fldChar w:fldCharType="separate"/>
    </w:r>
    <w:r w:rsidR="001B3E20">
      <w:rPr>
        <w:b/>
        <w:bCs/>
        <w:sz w:val="18"/>
        <w:szCs w:val="28"/>
      </w:rPr>
      <w:t>7</w:t>
    </w:r>
    <w:r w:rsidR="001B3E20" w:rsidRPr="009335F0">
      <w:rPr>
        <w:b/>
        <w:bCs/>
        <w:noProof/>
        <w:sz w:val="1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4895" w14:textId="77777777" w:rsidR="00EF23D3" w:rsidRDefault="00EF2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D6E65" w14:textId="77777777" w:rsidR="007F3E0A" w:rsidRDefault="007F3E0A" w:rsidP="00FB5F0A">
      <w:pPr>
        <w:spacing w:after="0"/>
      </w:pPr>
      <w:r>
        <w:separator/>
      </w:r>
    </w:p>
    <w:p w14:paraId="7A30F17A" w14:textId="77777777" w:rsidR="007F3E0A" w:rsidRDefault="007F3E0A"/>
  </w:footnote>
  <w:footnote w:type="continuationSeparator" w:id="0">
    <w:p w14:paraId="7CEF972F" w14:textId="77777777" w:rsidR="007F3E0A" w:rsidRDefault="007F3E0A" w:rsidP="00FB5F0A">
      <w:pPr>
        <w:spacing w:after="0"/>
      </w:pPr>
      <w:r>
        <w:continuationSeparator/>
      </w:r>
    </w:p>
    <w:p w14:paraId="0E87D56C" w14:textId="77777777" w:rsidR="007F3E0A" w:rsidRDefault="007F3E0A"/>
  </w:footnote>
  <w:footnote w:id="1">
    <w:p w14:paraId="62433B3A" w14:textId="6550168A" w:rsidR="002B3AB8" w:rsidRPr="00CB4A98" w:rsidRDefault="002B3AB8">
      <w:pPr>
        <w:pStyle w:val="FootnoteText"/>
      </w:pPr>
      <w:r>
        <w:rPr>
          <w:rStyle w:val="FootnoteReference"/>
        </w:rPr>
        <w:footnoteRef/>
      </w:r>
      <w:r>
        <w:t xml:space="preserve"> </w:t>
      </w:r>
      <w:r w:rsidR="00CB4A98">
        <w:t xml:space="preserve">Safe Work Australia (2021), </w:t>
      </w:r>
      <w:r w:rsidR="00CB4A98">
        <w:rPr>
          <w:i/>
          <w:iCs/>
        </w:rPr>
        <w:t>Comparison of workers’ compensation arrangements in Australia and New Zealand, 28</w:t>
      </w:r>
      <w:r w:rsidR="00CB4A98" w:rsidRPr="00CB4A98">
        <w:rPr>
          <w:i/>
          <w:iCs/>
          <w:vertAlign w:val="superscript"/>
        </w:rPr>
        <w:t>th</w:t>
      </w:r>
      <w:r w:rsidR="00CB4A98">
        <w:rPr>
          <w:i/>
          <w:iCs/>
        </w:rPr>
        <w:t xml:space="preserve"> edition</w:t>
      </w:r>
      <w:r w:rsidR="00120563">
        <w:t xml:space="preserve">, </w:t>
      </w:r>
      <w:r w:rsidR="00120563" w:rsidRPr="00120563">
        <w:t>https://www.safeworkaustralia.gov.au/doc/comparison-workers-compensation-arrangements-australia-and-new-zealand-2021</w:t>
      </w:r>
    </w:p>
  </w:footnote>
  <w:footnote w:id="2">
    <w:p w14:paraId="4662758D" w14:textId="1E022BA3" w:rsidR="007B5B5F" w:rsidRDefault="007B5B5F">
      <w:pPr>
        <w:pStyle w:val="FootnoteText"/>
      </w:pPr>
      <w:r>
        <w:rPr>
          <w:rStyle w:val="FootnoteReference"/>
        </w:rPr>
        <w:footnoteRef/>
      </w:r>
      <w:r>
        <w:t xml:space="preserve"> </w:t>
      </w:r>
      <w:r w:rsidRPr="007B5B5F">
        <w:t>https://www.abs.gov.au/statistics/labour/earnings-and-working-conditions/working-arrangements/latest-release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3B37" w14:textId="77777777" w:rsidR="00EF23D3" w:rsidRDefault="00EF2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6DC1A" w14:textId="77777777" w:rsidR="00EF23D3" w:rsidRDefault="00EF23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319B" w14:textId="77777777" w:rsidR="007D5BA8" w:rsidRDefault="00FB5F0A">
    <w:pPr>
      <w:pStyle w:val="Header"/>
    </w:pPr>
    <w:r>
      <w:rPr>
        <w:noProof/>
      </w:rPr>
      <w:drawing>
        <wp:anchor distT="0" distB="0" distL="114300" distR="114300" simplePos="0" relativeHeight="251658240" behindDoc="1" locked="0" layoutInCell="1" allowOverlap="1" wp14:anchorId="60D0D2CF" wp14:editId="463443A3">
          <wp:simplePos x="0" y="0"/>
          <wp:positionH relativeFrom="page">
            <wp:posOffset>125</wp:posOffset>
          </wp:positionH>
          <wp:positionV relativeFrom="paragraph">
            <wp:posOffset>-450215</wp:posOffset>
          </wp:positionV>
          <wp:extent cx="7559512" cy="10693053"/>
          <wp:effectExtent l="0" t="0" r="381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512" cy="10693053"/>
                  </a:xfrm>
                  <a:prstGeom prst="rect">
                    <a:avLst/>
                  </a:prstGeom>
                </pic:spPr>
              </pic:pic>
            </a:graphicData>
          </a:graphic>
          <wp14:sizeRelH relativeFrom="page">
            <wp14:pctWidth>0</wp14:pctWidth>
          </wp14:sizeRelH>
          <wp14:sizeRelV relativeFrom="page">
            <wp14:pctHeight>0</wp14:pctHeight>
          </wp14:sizeRelV>
        </wp:anchor>
      </w:drawing>
    </w:r>
  </w:p>
  <w:p w14:paraId="49D1F9E0" w14:textId="77777777" w:rsidR="007D5BA8" w:rsidRDefault="00C82347">
    <w:pPr>
      <w:pStyle w:val="Header"/>
    </w:pPr>
  </w:p>
  <w:p w14:paraId="176BD5CD" w14:textId="77777777" w:rsidR="007D5BA8" w:rsidRDefault="00C823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DB441" w14:textId="77777777" w:rsidR="00AC00C0" w:rsidRDefault="00C82347">
    <w:pPr>
      <w:pStyle w:val="Header"/>
    </w:pPr>
  </w:p>
  <w:p w14:paraId="2959087E" w14:textId="77777777" w:rsidR="00AC00C0" w:rsidRDefault="00C82347">
    <w:pPr>
      <w:pStyle w:val="Header"/>
    </w:pPr>
  </w:p>
  <w:p w14:paraId="57A78C4F" w14:textId="77777777" w:rsidR="00AC00C0" w:rsidRDefault="00C823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BE3A" w14:textId="77777777" w:rsidR="00B77BD6" w:rsidRDefault="00B77BD6">
    <w:pPr>
      <w:pStyle w:val="Header"/>
    </w:pPr>
  </w:p>
  <w:p w14:paraId="4507A4FD" w14:textId="77777777" w:rsidR="00B77BD6" w:rsidRDefault="00B77BD6">
    <w:pPr>
      <w:pStyle w:val="Header"/>
    </w:pPr>
  </w:p>
  <w:p w14:paraId="515169A8" w14:textId="77777777" w:rsidR="00B77BD6" w:rsidRDefault="00B77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DFC4D66"/>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5EE612F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9D8DB3E"/>
    <w:lvl w:ilvl="0">
      <w:start w:val="1"/>
      <w:numFmt w:val="decimal"/>
      <w:pStyle w:val="ListNumber"/>
      <w:lvlText w:val="%1."/>
      <w:lvlJc w:val="left"/>
      <w:pPr>
        <w:ind w:left="360" w:hanging="360"/>
      </w:pPr>
    </w:lvl>
  </w:abstractNum>
  <w:abstractNum w:abstractNumId="3" w15:restartNumberingAfterBreak="0">
    <w:nsid w:val="FFFFFF89"/>
    <w:multiLevelType w:val="singleLevel"/>
    <w:tmpl w:val="A2BC7B6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6F5073"/>
    <w:multiLevelType w:val="hybridMultilevel"/>
    <w:tmpl w:val="C5DE895A"/>
    <w:lvl w:ilvl="0" w:tplc="0156BE8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FB1564"/>
    <w:multiLevelType w:val="multilevel"/>
    <w:tmpl w:val="4B02F230"/>
    <w:lvl w:ilvl="0">
      <w:start w:val="1"/>
      <w:numFmt w:val="decimal"/>
      <w:pStyle w:val="Heading1"/>
      <w:lvlText w:val="%1 "/>
      <w:lvlJc w:val="left"/>
      <w:pPr>
        <w:ind w:left="1191" w:hanging="1191"/>
      </w:pPr>
      <w:rPr>
        <w:rFonts w:hint="default"/>
      </w:rPr>
    </w:lvl>
    <w:lvl w:ilvl="1">
      <w:start w:val="1"/>
      <w:numFmt w:val="decimal"/>
      <w:lvlRestart w:val="0"/>
      <w:pStyle w:val="Heading2"/>
      <w:lvlText w:val="%1.%2"/>
      <w:lvlJc w:val="left"/>
      <w:pPr>
        <w:tabs>
          <w:tab w:val="num" w:pos="1191"/>
        </w:tabs>
        <w:ind w:left="1191" w:hanging="1191"/>
      </w:pPr>
      <w:rPr>
        <w:rFonts w:hint="default"/>
      </w:rPr>
    </w:lvl>
    <w:lvl w:ilvl="2">
      <w:start w:val="1"/>
      <w:numFmt w:val="lowerRoman"/>
      <w:lvlText w:val="%3."/>
      <w:lvlJc w:val="right"/>
      <w:pPr>
        <w:ind w:left="1191" w:hanging="1191"/>
      </w:pPr>
      <w:rPr>
        <w:rFonts w:hint="default"/>
      </w:rPr>
    </w:lvl>
    <w:lvl w:ilvl="3">
      <w:start w:val="1"/>
      <w:numFmt w:val="decimal"/>
      <w:lvlText w:val="%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7" w15:restartNumberingAfterBreak="0">
    <w:nsid w:val="2C9462EE"/>
    <w:multiLevelType w:val="multilevel"/>
    <w:tmpl w:val="822680B4"/>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FA307E"/>
    <w:multiLevelType w:val="multilevel"/>
    <w:tmpl w:val="0644D8D4"/>
    <w:lvl w:ilvl="0">
      <w:start w:val="1"/>
      <w:numFmt w:val="decimal"/>
      <w:lvlText w:val="1.%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6002F54"/>
    <w:multiLevelType w:val="multilevel"/>
    <w:tmpl w:val="4A4C92C6"/>
    <w:lvl w:ilvl="0">
      <w:start w:val="1"/>
      <w:numFmt w:val="decimal"/>
      <w:pStyle w:val="NumberingSW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54458A5"/>
    <w:multiLevelType w:val="multilevel"/>
    <w:tmpl w:val="831A1C5E"/>
    <w:lvl w:ilvl="0">
      <w:start w:val="1"/>
      <w:numFmt w:val="decimal"/>
      <w:lvlText w:val="%1 "/>
      <w:lvlJc w:val="left"/>
      <w:pPr>
        <w:ind w:left="1418" w:hanging="1418"/>
      </w:pPr>
      <w:rPr>
        <w:rFonts w:hint="default"/>
      </w:rPr>
    </w:lvl>
    <w:lvl w:ilvl="1">
      <w:start w:val="1"/>
      <w:numFmt w:val="decimal"/>
      <w:lvlRestart w:val="0"/>
      <w:lvlText w:val="%1.%2"/>
      <w:lvlJc w:val="left"/>
      <w:pPr>
        <w:ind w:left="1134" w:hanging="1134"/>
      </w:pPr>
      <w:rPr>
        <w:rFonts w:hint="default"/>
      </w:rPr>
    </w:lvl>
    <w:lvl w:ilvl="2">
      <w:start w:val="1"/>
      <w:numFmt w:val="lowerRoman"/>
      <w:lvlText w:val="%3."/>
      <w:lvlJc w:val="right"/>
      <w:pPr>
        <w:ind w:left="1418" w:hanging="1418"/>
      </w:pPr>
      <w:rPr>
        <w:rFonts w:hint="default"/>
      </w:rPr>
    </w:lvl>
    <w:lvl w:ilvl="3">
      <w:start w:val="1"/>
      <w:numFmt w:val="decimal"/>
      <w:lvlText w:val="%4."/>
      <w:lvlJc w:val="left"/>
      <w:pPr>
        <w:ind w:left="1418" w:hanging="1418"/>
      </w:pPr>
      <w:rPr>
        <w:rFonts w:hint="default"/>
      </w:rPr>
    </w:lvl>
    <w:lvl w:ilvl="4">
      <w:start w:val="1"/>
      <w:numFmt w:val="lowerLetter"/>
      <w:lvlText w:val="%5."/>
      <w:lvlJc w:val="left"/>
      <w:pPr>
        <w:ind w:left="1418" w:hanging="1418"/>
      </w:pPr>
      <w:rPr>
        <w:rFonts w:hint="default"/>
      </w:rPr>
    </w:lvl>
    <w:lvl w:ilvl="5">
      <w:start w:val="1"/>
      <w:numFmt w:val="lowerRoman"/>
      <w:lvlText w:val="%6."/>
      <w:lvlJc w:val="right"/>
      <w:pPr>
        <w:ind w:left="1418" w:hanging="1418"/>
      </w:pPr>
      <w:rPr>
        <w:rFonts w:hint="default"/>
      </w:rPr>
    </w:lvl>
    <w:lvl w:ilvl="6">
      <w:start w:val="1"/>
      <w:numFmt w:val="decimal"/>
      <w:lvlText w:val="%7."/>
      <w:lvlJc w:val="left"/>
      <w:pPr>
        <w:ind w:left="1418" w:hanging="1418"/>
      </w:pPr>
      <w:rPr>
        <w:rFonts w:hint="default"/>
      </w:rPr>
    </w:lvl>
    <w:lvl w:ilvl="7">
      <w:start w:val="1"/>
      <w:numFmt w:val="lowerLetter"/>
      <w:lvlText w:val="%8."/>
      <w:lvlJc w:val="left"/>
      <w:pPr>
        <w:ind w:left="1418" w:hanging="1418"/>
      </w:pPr>
      <w:rPr>
        <w:rFonts w:hint="default"/>
      </w:rPr>
    </w:lvl>
    <w:lvl w:ilvl="8">
      <w:start w:val="1"/>
      <w:numFmt w:val="lowerRoman"/>
      <w:lvlText w:val="%9."/>
      <w:lvlJc w:val="right"/>
      <w:pPr>
        <w:ind w:left="1418" w:hanging="1418"/>
      </w:pPr>
      <w:rPr>
        <w:rFonts w:hint="default"/>
      </w:rPr>
    </w:lvl>
  </w:abstractNum>
  <w:abstractNum w:abstractNumId="11" w15:restartNumberingAfterBreak="0">
    <w:nsid w:val="5BD9508F"/>
    <w:multiLevelType w:val="hybridMultilevel"/>
    <w:tmpl w:val="8FD2CF9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2" w15:restartNumberingAfterBreak="0">
    <w:nsid w:val="5D5A095F"/>
    <w:multiLevelType w:val="multilevel"/>
    <w:tmpl w:val="C3F40F1C"/>
    <w:styleLink w:val="Style1"/>
    <w:lvl w:ilvl="0">
      <w:start w:val="1"/>
      <w:numFmt w:val="decimal"/>
      <w:lvlText w:val="%1 "/>
      <w:lvlJc w:val="left"/>
      <w:pPr>
        <w:ind w:left="1304" w:hanging="1304"/>
      </w:pPr>
      <w:rPr>
        <w:rFonts w:hint="default"/>
      </w:rPr>
    </w:lvl>
    <w:lvl w:ilvl="1">
      <w:start w:val="1"/>
      <w:numFmt w:val="decimal"/>
      <w:lvlRestart w:val="0"/>
      <w:lvlText w:val="%1.%2"/>
      <w:lvlJc w:val="left"/>
      <w:pPr>
        <w:tabs>
          <w:tab w:val="num" w:pos="1304"/>
        </w:tabs>
        <w:ind w:left="1304" w:hanging="1304"/>
      </w:pPr>
      <w:rPr>
        <w:rFonts w:hint="default"/>
      </w:rPr>
    </w:lvl>
    <w:lvl w:ilvl="2">
      <w:start w:val="1"/>
      <w:numFmt w:val="lowerRoman"/>
      <w:lvlText w:val="%3."/>
      <w:lvlJc w:val="right"/>
      <w:pPr>
        <w:ind w:left="1304" w:hanging="1304"/>
      </w:pPr>
      <w:rPr>
        <w:rFonts w:hint="default"/>
      </w:rPr>
    </w:lvl>
    <w:lvl w:ilvl="3">
      <w:start w:val="1"/>
      <w:numFmt w:val="decimal"/>
      <w:lvlText w:val="%4."/>
      <w:lvlJc w:val="left"/>
      <w:pPr>
        <w:ind w:left="1304" w:hanging="1304"/>
      </w:pPr>
      <w:rPr>
        <w:rFonts w:hint="default"/>
      </w:rPr>
    </w:lvl>
    <w:lvl w:ilvl="4">
      <w:start w:val="1"/>
      <w:numFmt w:val="lowerLetter"/>
      <w:lvlText w:val="%5."/>
      <w:lvlJc w:val="left"/>
      <w:pPr>
        <w:ind w:left="1304" w:hanging="1304"/>
      </w:pPr>
      <w:rPr>
        <w:rFonts w:hint="default"/>
      </w:rPr>
    </w:lvl>
    <w:lvl w:ilvl="5">
      <w:start w:val="1"/>
      <w:numFmt w:val="lowerRoman"/>
      <w:lvlText w:val="%6."/>
      <w:lvlJc w:val="right"/>
      <w:pPr>
        <w:ind w:left="1304" w:hanging="1304"/>
      </w:pPr>
      <w:rPr>
        <w:rFonts w:hint="default"/>
      </w:rPr>
    </w:lvl>
    <w:lvl w:ilvl="6">
      <w:start w:val="1"/>
      <w:numFmt w:val="decimal"/>
      <w:lvlText w:val="%7."/>
      <w:lvlJc w:val="left"/>
      <w:pPr>
        <w:ind w:left="1304" w:hanging="1304"/>
      </w:pPr>
      <w:rPr>
        <w:rFonts w:hint="default"/>
      </w:rPr>
    </w:lvl>
    <w:lvl w:ilvl="7">
      <w:start w:val="1"/>
      <w:numFmt w:val="lowerLetter"/>
      <w:lvlText w:val="%8."/>
      <w:lvlJc w:val="left"/>
      <w:pPr>
        <w:ind w:left="1304" w:hanging="1304"/>
      </w:pPr>
      <w:rPr>
        <w:rFonts w:hint="default"/>
      </w:rPr>
    </w:lvl>
    <w:lvl w:ilvl="8">
      <w:start w:val="1"/>
      <w:numFmt w:val="lowerRoman"/>
      <w:lvlText w:val="%9."/>
      <w:lvlJc w:val="right"/>
      <w:pPr>
        <w:ind w:left="1304" w:hanging="1304"/>
      </w:pPr>
      <w:rPr>
        <w:rFonts w:hint="default"/>
      </w:rPr>
    </w:lvl>
  </w:abstractNum>
  <w:abstractNum w:abstractNumId="13" w15:restartNumberingAfterBreak="0">
    <w:nsid w:val="7D15675E"/>
    <w:multiLevelType w:val="hybridMultilevel"/>
    <w:tmpl w:val="92924D4A"/>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4" w15:restartNumberingAfterBreak="0">
    <w:nsid w:val="7ECD56B4"/>
    <w:multiLevelType w:val="hybridMultilevel"/>
    <w:tmpl w:val="3418F38C"/>
    <w:lvl w:ilvl="0" w:tplc="D22EB834">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83741025">
    <w:abstractNumId w:val="7"/>
  </w:num>
  <w:num w:numId="2" w16cid:durableId="940259960">
    <w:abstractNumId w:val="3"/>
  </w:num>
  <w:num w:numId="3" w16cid:durableId="452209541">
    <w:abstractNumId w:val="1"/>
  </w:num>
  <w:num w:numId="4" w16cid:durableId="1600797254">
    <w:abstractNumId w:val="4"/>
  </w:num>
  <w:num w:numId="5" w16cid:durableId="2080132892">
    <w:abstractNumId w:val="4"/>
  </w:num>
  <w:num w:numId="6" w16cid:durableId="968898159">
    <w:abstractNumId w:val="14"/>
  </w:num>
  <w:num w:numId="7" w16cid:durableId="869992206">
    <w:abstractNumId w:val="2"/>
  </w:num>
  <w:num w:numId="8" w16cid:durableId="665934578">
    <w:abstractNumId w:val="2"/>
  </w:num>
  <w:num w:numId="9" w16cid:durableId="589042499">
    <w:abstractNumId w:val="13"/>
  </w:num>
  <w:num w:numId="10" w16cid:durableId="1393576047">
    <w:abstractNumId w:val="0"/>
  </w:num>
  <w:num w:numId="11" w16cid:durableId="1525628640">
    <w:abstractNumId w:val="11"/>
  </w:num>
  <w:num w:numId="12" w16cid:durableId="180508349">
    <w:abstractNumId w:val="7"/>
  </w:num>
  <w:num w:numId="13" w16cid:durableId="1745757011">
    <w:abstractNumId w:val="4"/>
  </w:num>
  <w:num w:numId="14" w16cid:durableId="2061124100">
    <w:abstractNumId w:val="4"/>
  </w:num>
  <w:num w:numId="15" w16cid:durableId="1367682042">
    <w:abstractNumId w:val="5"/>
  </w:num>
  <w:num w:numId="16" w16cid:durableId="1319074060">
    <w:abstractNumId w:val="5"/>
    <w:lvlOverride w:ilvl="0">
      <w:startOverride w:val="1"/>
    </w:lvlOverride>
  </w:num>
  <w:num w:numId="17" w16cid:durableId="1375696750">
    <w:abstractNumId w:val="10"/>
  </w:num>
  <w:num w:numId="18" w16cid:durableId="78529459">
    <w:abstractNumId w:val="9"/>
  </w:num>
  <w:num w:numId="19" w16cid:durableId="379938160">
    <w:abstractNumId w:val="8"/>
  </w:num>
  <w:num w:numId="20" w16cid:durableId="1014724598">
    <w:abstractNumId w:val="10"/>
    <w:lvlOverride w:ilvl="0">
      <w:lvl w:ilvl="0">
        <w:start w:val="1"/>
        <w:numFmt w:val="decimal"/>
        <w:lvlText w:val="%1 "/>
        <w:lvlJc w:val="left"/>
        <w:pPr>
          <w:ind w:left="360" w:hanging="360"/>
        </w:pPr>
        <w:rPr>
          <w:rFonts w:hint="default"/>
        </w:rPr>
      </w:lvl>
    </w:lvlOverride>
    <w:lvlOverride w:ilvl="1">
      <w:lvl w:ilvl="1">
        <w:start w:val="1"/>
        <w:numFmt w:val="decimal"/>
        <w:lvlRestart w:val="0"/>
        <w:lvlText w:val="%2.%1"/>
        <w:lvlJc w:val="left"/>
        <w:pPr>
          <w:ind w:left="907" w:hanging="907"/>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1" w16cid:durableId="1275479034">
    <w:abstractNumId w:val="10"/>
    <w:lvlOverride w:ilvl="0">
      <w:lvl w:ilvl="0">
        <w:start w:val="1"/>
        <w:numFmt w:val="decimal"/>
        <w:lvlText w:val="%1 "/>
        <w:lvlJc w:val="left"/>
        <w:pPr>
          <w:ind w:left="357" w:hanging="357"/>
        </w:pPr>
        <w:rPr>
          <w:rFonts w:hint="default"/>
        </w:rPr>
      </w:lvl>
    </w:lvlOverride>
    <w:lvlOverride w:ilvl="1">
      <w:lvl w:ilvl="1">
        <w:start w:val="1"/>
        <w:numFmt w:val="decimal"/>
        <w:lvlRestart w:val="0"/>
        <w:lvlText w:val="%2.%1"/>
        <w:lvlJc w:val="left"/>
        <w:pPr>
          <w:tabs>
            <w:tab w:val="num" w:pos="1077"/>
          </w:tabs>
          <w:ind w:left="357" w:hanging="357"/>
        </w:pPr>
        <w:rPr>
          <w:rFonts w:hint="default"/>
        </w:rPr>
      </w:lvl>
    </w:lvlOverride>
    <w:lvlOverride w:ilvl="2">
      <w:lvl w:ilvl="2">
        <w:start w:val="1"/>
        <w:numFmt w:val="lowerRoman"/>
        <w:lvlText w:val="%3."/>
        <w:lvlJc w:val="right"/>
        <w:pPr>
          <w:ind w:left="357" w:hanging="357"/>
        </w:pPr>
        <w:rPr>
          <w:rFonts w:hint="default"/>
        </w:rPr>
      </w:lvl>
    </w:lvlOverride>
    <w:lvlOverride w:ilvl="3">
      <w:lvl w:ilvl="3">
        <w:start w:val="1"/>
        <w:numFmt w:val="decimal"/>
        <w:lvlText w:val="%4."/>
        <w:lvlJc w:val="left"/>
        <w:pPr>
          <w:ind w:left="357" w:hanging="357"/>
        </w:pPr>
        <w:rPr>
          <w:rFonts w:hint="default"/>
        </w:rPr>
      </w:lvl>
    </w:lvlOverride>
    <w:lvlOverride w:ilvl="4">
      <w:lvl w:ilvl="4">
        <w:start w:val="1"/>
        <w:numFmt w:val="lowerLetter"/>
        <w:lvlText w:val="%5."/>
        <w:lvlJc w:val="left"/>
        <w:pPr>
          <w:ind w:left="357" w:hanging="357"/>
        </w:pPr>
        <w:rPr>
          <w:rFonts w:hint="default"/>
        </w:rPr>
      </w:lvl>
    </w:lvlOverride>
    <w:lvlOverride w:ilvl="5">
      <w:lvl w:ilvl="5">
        <w:start w:val="1"/>
        <w:numFmt w:val="lowerRoman"/>
        <w:lvlText w:val="%6."/>
        <w:lvlJc w:val="right"/>
        <w:pPr>
          <w:ind w:left="357" w:hanging="357"/>
        </w:pPr>
        <w:rPr>
          <w:rFonts w:hint="default"/>
        </w:rPr>
      </w:lvl>
    </w:lvlOverride>
    <w:lvlOverride w:ilvl="6">
      <w:lvl w:ilvl="6">
        <w:start w:val="1"/>
        <w:numFmt w:val="decimal"/>
        <w:lvlText w:val="%7."/>
        <w:lvlJc w:val="left"/>
        <w:pPr>
          <w:ind w:left="357" w:hanging="357"/>
        </w:pPr>
        <w:rPr>
          <w:rFonts w:hint="default"/>
        </w:rPr>
      </w:lvl>
    </w:lvlOverride>
    <w:lvlOverride w:ilvl="7">
      <w:lvl w:ilvl="7">
        <w:start w:val="1"/>
        <w:numFmt w:val="lowerLetter"/>
        <w:lvlText w:val="%8."/>
        <w:lvlJc w:val="left"/>
        <w:pPr>
          <w:ind w:left="357" w:hanging="357"/>
        </w:pPr>
        <w:rPr>
          <w:rFonts w:hint="default"/>
        </w:rPr>
      </w:lvl>
    </w:lvlOverride>
    <w:lvlOverride w:ilvl="8">
      <w:lvl w:ilvl="8">
        <w:start w:val="1"/>
        <w:numFmt w:val="lowerRoman"/>
        <w:lvlText w:val="%9."/>
        <w:lvlJc w:val="right"/>
        <w:pPr>
          <w:ind w:left="357" w:hanging="357"/>
        </w:pPr>
        <w:rPr>
          <w:rFonts w:hint="default"/>
        </w:rPr>
      </w:lvl>
    </w:lvlOverride>
  </w:num>
  <w:num w:numId="22" w16cid:durableId="626008451">
    <w:abstractNumId w:val="10"/>
    <w:lvlOverride w:ilvl="0">
      <w:lvl w:ilvl="0">
        <w:start w:val="1"/>
        <w:numFmt w:val="decimal"/>
        <w:lvlText w:val="%1 "/>
        <w:lvlJc w:val="left"/>
        <w:pPr>
          <w:ind w:left="1134" w:hanging="1134"/>
        </w:pPr>
        <w:rPr>
          <w:rFonts w:hint="default"/>
        </w:rPr>
      </w:lvl>
    </w:lvlOverride>
    <w:lvlOverride w:ilvl="1">
      <w:lvl w:ilvl="1">
        <w:start w:val="1"/>
        <w:numFmt w:val="decimal"/>
        <w:lvlRestart w:val="0"/>
        <w:lvlText w:val="%1.%2"/>
        <w:lvlJc w:val="left"/>
        <w:pPr>
          <w:ind w:left="1134" w:hanging="1134"/>
        </w:pPr>
        <w:rPr>
          <w:rFonts w:hint="default"/>
        </w:rPr>
      </w:lvl>
    </w:lvlOverride>
    <w:lvlOverride w:ilvl="2">
      <w:lvl w:ilvl="2">
        <w:start w:val="1"/>
        <w:numFmt w:val="lowerRoman"/>
        <w:lvlText w:val="%3."/>
        <w:lvlJc w:val="right"/>
        <w:pPr>
          <w:ind w:left="1418" w:hanging="1418"/>
        </w:pPr>
        <w:rPr>
          <w:rFonts w:hint="default"/>
        </w:rPr>
      </w:lvl>
    </w:lvlOverride>
    <w:lvlOverride w:ilvl="3">
      <w:lvl w:ilvl="3">
        <w:start w:val="1"/>
        <w:numFmt w:val="decimal"/>
        <w:lvlText w:val="%4."/>
        <w:lvlJc w:val="left"/>
        <w:pPr>
          <w:ind w:left="1418" w:hanging="1418"/>
        </w:pPr>
        <w:rPr>
          <w:rFonts w:hint="default"/>
        </w:rPr>
      </w:lvl>
    </w:lvlOverride>
    <w:lvlOverride w:ilvl="4">
      <w:lvl w:ilvl="4">
        <w:start w:val="1"/>
        <w:numFmt w:val="lowerLetter"/>
        <w:lvlText w:val="%5."/>
        <w:lvlJc w:val="left"/>
        <w:pPr>
          <w:ind w:left="1418" w:hanging="1418"/>
        </w:pPr>
        <w:rPr>
          <w:rFonts w:hint="default"/>
        </w:rPr>
      </w:lvl>
    </w:lvlOverride>
    <w:lvlOverride w:ilvl="5">
      <w:lvl w:ilvl="5">
        <w:start w:val="1"/>
        <w:numFmt w:val="lowerRoman"/>
        <w:lvlText w:val="%6."/>
        <w:lvlJc w:val="right"/>
        <w:pPr>
          <w:ind w:left="1418" w:hanging="1418"/>
        </w:pPr>
        <w:rPr>
          <w:rFonts w:hint="default"/>
        </w:rPr>
      </w:lvl>
    </w:lvlOverride>
    <w:lvlOverride w:ilvl="6">
      <w:lvl w:ilvl="6">
        <w:start w:val="1"/>
        <w:numFmt w:val="decimal"/>
        <w:lvlText w:val="%7."/>
        <w:lvlJc w:val="left"/>
        <w:pPr>
          <w:ind w:left="1418" w:hanging="1418"/>
        </w:pPr>
        <w:rPr>
          <w:rFonts w:hint="default"/>
        </w:rPr>
      </w:lvl>
    </w:lvlOverride>
    <w:lvlOverride w:ilvl="7">
      <w:lvl w:ilvl="7">
        <w:start w:val="1"/>
        <w:numFmt w:val="lowerLetter"/>
        <w:lvlText w:val="%8."/>
        <w:lvlJc w:val="left"/>
        <w:pPr>
          <w:ind w:left="1418" w:hanging="1418"/>
        </w:pPr>
        <w:rPr>
          <w:rFonts w:hint="default"/>
        </w:rPr>
      </w:lvl>
    </w:lvlOverride>
    <w:lvlOverride w:ilvl="8">
      <w:lvl w:ilvl="8">
        <w:start w:val="1"/>
        <w:numFmt w:val="lowerRoman"/>
        <w:lvlText w:val="%9."/>
        <w:lvlJc w:val="right"/>
        <w:pPr>
          <w:ind w:left="1418" w:hanging="1418"/>
        </w:pPr>
        <w:rPr>
          <w:rFonts w:hint="default"/>
        </w:rPr>
      </w:lvl>
    </w:lvlOverride>
  </w:num>
  <w:num w:numId="23" w16cid:durableId="988363281">
    <w:abstractNumId w:val="12"/>
  </w:num>
  <w:num w:numId="24" w16cid:durableId="19678075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1315038">
    <w:abstractNumId w:val="6"/>
  </w:num>
  <w:num w:numId="26" w16cid:durableId="1679575420">
    <w:abstractNumId w:val="12"/>
  </w:num>
  <w:num w:numId="27" w16cid:durableId="1261716540">
    <w:abstractNumId w:val="6"/>
  </w:num>
  <w:num w:numId="28" w16cid:durableId="2008090522">
    <w:abstractNumId w:val="6"/>
    <w:lvlOverride w:ilvl="0">
      <w:startOverride w:val="3"/>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576"/>
    <w:rsid w:val="00002D61"/>
    <w:rsid w:val="0003769F"/>
    <w:rsid w:val="00067289"/>
    <w:rsid w:val="000B4B02"/>
    <w:rsid w:val="000B74BF"/>
    <w:rsid w:val="000C220E"/>
    <w:rsid w:val="000C74DC"/>
    <w:rsid w:val="000E276E"/>
    <w:rsid w:val="00101268"/>
    <w:rsid w:val="0010738E"/>
    <w:rsid w:val="001163B7"/>
    <w:rsid w:val="00120563"/>
    <w:rsid w:val="001310AA"/>
    <w:rsid w:val="0013421C"/>
    <w:rsid w:val="00140624"/>
    <w:rsid w:val="00160F3E"/>
    <w:rsid w:val="00161339"/>
    <w:rsid w:val="001711F9"/>
    <w:rsid w:val="00190B7D"/>
    <w:rsid w:val="00195883"/>
    <w:rsid w:val="001A1AD7"/>
    <w:rsid w:val="001B3E20"/>
    <w:rsid w:val="001C1328"/>
    <w:rsid w:val="001D1A5D"/>
    <w:rsid w:val="0020334C"/>
    <w:rsid w:val="0021272A"/>
    <w:rsid w:val="002446CD"/>
    <w:rsid w:val="0025683F"/>
    <w:rsid w:val="00262B87"/>
    <w:rsid w:val="00263F37"/>
    <w:rsid w:val="00264C9E"/>
    <w:rsid w:val="00267FCA"/>
    <w:rsid w:val="00271AAD"/>
    <w:rsid w:val="00287159"/>
    <w:rsid w:val="00296301"/>
    <w:rsid w:val="002B3AB8"/>
    <w:rsid w:val="002B7C0F"/>
    <w:rsid w:val="002C2988"/>
    <w:rsid w:val="002F3EFF"/>
    <w:rsid w:val="002F71F7"/>
    <w:rsid w:val="0030297B"/>
    <w:rsid w:val="00331ADA"/>
    <w:rsid w:val="00345EFD"/>
    <w:rsid w:val="00363A7F"/>
    <w:rsid w:val="00396B61"/>
    <w:rsid w:val="003C5DEB"/>
    <w:rsid w:val="003F6D1C"/>
    <w:rsid w:val="004208BA"/>
    <w:rsid w:val="004208F3"/>
    <w:rsid w:val="00432F9F"/>
    <w:rsid w:val="00441731"/>
    <w:rsid w:val="00484DA6"/>
    <w:rsid w:val="00491A42"/>
    <w:rsid w:val="004A0171"/>
    <w:rsid w:val="004A6BF6"/>
    <w:rsid w:val="004B5BD0"/>
    <w:rsid w:val="004D5411"/>
    <w:rsid w:val="004E49DD"/>
    <w:rsid w:val="004E59EC"/>
    <w:rsid w:val="00501132"/>
    <w:rsid w:val="00501A31"/>
    <w:rsid w:val="005127E2"/>
    <w:rsid w:val="005146C7"/>
    <w:rsid w:val="00546E49"/>
    <w:rsid w:val="005614BB"/>
    <w:rsid w:val="00565F55"/>
    <w:rsid w:val="005A16C9"/>
    <w:rsid w:val="005A4D1C"/>
    <w:rsid w:val="005B449A"/>
    <w:rsid w:val="005D4FC1"/>
    <w:rsid w:val="005E014B"/>
    <w:rsid w:val="005F3659"/>
    <w:rsid w:val="005F3D19"/>
    <w:rsid w:val="006328CA"/>
    <w:rsid w:val="00634721"/>
    <w:rsid w:val="00646B92"/>
    <w:rsid w:val="00646BEE"/>
    <w:rsid w:val="006546C6"/>
    <w:rsid w:val="00661872"/>
    <w:rsid w:val="00664696"/>
    <w:rsid w:val="00671C4D"/>
    <w:rsid w:val="006777D3"/>
    <w:rsid w:val="006865E4"/>
    <w:rsid w:val="00686C8D"/>
    <w:rsid w:val="00694FF1"/>
    <w:rsid w:val="006B1FB7"/>
    <w:rsid w:val="006B65EB"/>
    <w:rsid w:val="006C191F"/>
    <w:rsid w:val="006C6524"/>
    <w:rsid w:val="006F6295"/>
    <w:rsid w:val="00701613"/>
    <w:rsid w:val="00743C82"/>
    <w:rsid w:val="0078762F"/>
    <w:rsid w:val="00796697"/>
    <w:rsid w:val="007B1E04"/>
    <w:rsid w:val="007B5B5F"/>
    <w:rsid w:val="007C0F14"/>
    <w:rsid w:val="007C4FD3"/>
    <w:rsid w:val="007F05EE"/>
    <w:rsid w:val="007F3E0A"/>
    <w:rsid w:val="0080067C"/>
    <w:rsid w:val="00807EFC"/>
    <w:rsid w:val="00820F31"/>
    <w:rsid w:val="00884668"/>
    <w:rsid w:val="008D5CFE"/>
    <w:rsid w:val="008D5EC9"/>
    <w:rsid w:val="008E1398"/>
    <w:rsid w:val="008E61A7"/>
    <w:rsid w:val="008F5370"/>
    <w:rsid w:val="009211FD"/>
    <w:rsid w:val="00922FBB"/>
    <w:rsid w:val="00941683"/>
    <w:rsid w:val="00987019"/>
    <w:rsid w:val="00994788"/>
    <w:rsid w:val="009950A4"/>
    <w:rsid w:val="009C012A"/>
    <w:rsid w:val="00A268E8"/>
    <w:rsid w:val="00A41F20"/>
    <w:rsid w:val="00A85BB3"/>
    <w:rsid w:val="00A8701E"/>
    <w:rsid w:val="00A91A00"/>
    <w:rsid w:val="00A91B38"/>
    <w:rsid w:val="00A920B8"/>
    <w:rsid w:val="00A93A52"/>
    <w:rsid w:val="00A97573"/>
    <w:rsid w:val="00AA5959"/>
    <w:rsid w:val="00B1389A"/>
    <w:rsid w:val="00B156E9"/>
    <w:rsid w:val="00B15F99"/>
    <w:rsid w:val="00B20595"/>
    <w:rsid w:val="00B3475E"/>
    <w:rsid w:val="00B34CA8"/>
    <w:rsid w:val="00B36BA2"/>
    <w:rsid w:val="00B54491"/>
    <w:rsid w:val="00B666DD"/>
    <w:rsid w:val="00B77BD6"/>
    <w:rsid w:val="00BA7CE4"/>
    <w:rsid w:val="00BD427B"/>
    <w:rsid w:val="00BE5210"/>
    <w:rsid w:val="00BF3C4B"/>
    <w:rsid w:val="00C064E8"/>
    <w:rsid w:val="00C27E8D"/>
    <w:rsid w:val="00C6085C"/>
    <w:rsid w:val="00C710E3"/>
    <w:rsid w:val="00C73BE0"/>
    <w:rsid w:val="00C82347"/>
    <w:rsid w:val="00C86576"/>
    <w:rsid w:val="00C90C92"/>
    <w:rsid w:val="00CA5A2F"/>
    <w:rsid w:val="00CB4A98"/>
    <w:rsid w:val="00CC500F"/>
    <w:rsid w:val="00CD3C3E"/>
    <w:rsid w:val="00CF01DF"/>
    <w:rsid w:val="00D0407F"/>
    <w:rsid w:val="00D22E44"/>
    <w:rsid w:val="00D25ECC"/>
    <w:rsid w:val="00D56724"/>
    <w:rsid w:val="00D839AC"/>
    <w:rsid w:val="00D950E3"/>
    <w:rsid w:val="00D96F47"/>
    <w:rsid w:val="00D973B7"/>
    <w:rsid w:val="00DA54F2"/>
    <w:rsid w:val="00DB0C85"/>
    <w:rsid w:val="00DB7B01"/>
    <w:rsid w:val="00E04AA2"/>
    <w:rsid w:val="00E31743"/>
    <w:rsid w:val="00E346F9"/>
    <w:rsid w:val="00E356C7"/>
    <w:rsid w:val="00E47078"/>
    <w:rsid w:val="00E56D06"/>
    <w:rsid w:val="00E61CB4"/>
    <w:rsid w:val="00E6439B"/>
    <w:rsid w:val="00E820BC"/>
    <w:rsid w:val="00EB2D51"/>
    <w:rsid w:val="00ED5C7F"/>
    <w:rsid w:val="00ED629D"/>
    <w:rsid w:val="00EE0A37"/>
    <w:rsid w:val="00EF23D3"/>
    <w:rsid w:val="00F02491"/>
    <w:rsid w:val="00F14612"/>
    <w:rsid w:val="00F22BD2"/>
    <w:rsid w:val="00F343E1"/>
    <w:rsid w:val="00F3577F"/>
    <w:rsid w:val="00F371E7"/>
    <w:rsid w:val="00F4226C"/>
    <w:rsid w:val="00F43B6E"/>
    <w:rsid w:val="00F51C54"/>
    <w:rsid w:val="00F673B8"/>
    <w:rsid w:val="00F820E9"/>
    <w:rsid w:val="00F961F4"/>
    <w:rsid w:val="00FA18B6"/>
    <w:rsid w:val="00FA1DC6"/>
    <w:rsid w:val="00FB077C"/>
    <w:rsid w:val="00FB16E2"/>
    <w:rsid w:val="00FB5F0A"/>
    <w:rsid w:val="00FE2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7DDB"/>
  <w15:chartTrackingRefBased/>
  <w15:docId w15:val="{FE5A8268-4DD7-4D0F-B2BE-445D540E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ADA"/>
    <w:pPr>
      <w:spacing w:after="120" w:line="240" w:lineRule="auto"/>
    </w:pPr>
    <w:rPr>
      <w:rFonts w:ascii="Arial" w:hAnsi="Arial"/>
      <w:sz w:val="20"/>
      <w:szCs w:val="24"/>
    </w:rPr>
  </w:style>
  <w:style w:type="paragraph" w:styleId="Heading1">
    <w:name w:val="heading 1"/>
    <w:aliases w:val="Numbered Heading 1"/>
    <w:basedOn w:val="Title"/>
    <w:next w:val="Normal"/>
    <w:link w:val="Heading1Char"/>
    <w:uiPriority w:val="9"/>
    <w:qFormat/>
    <w:rsid w:val="00F820E9"/>
    <w:pPr>
      <w:numPr>
        <w:numId w:val="25"/>
      </w:numPr>
      <w:spacing w:after="240"/>
      <w:ind w:right="2977"/>
      <w:outlineLvl w:val="0"/>
    </w:pPr>
    <w:rPr>
      <w:rFonts w:cs="Arial"/>
      <w:sz w:val="36"/>
      <w:szCs w:val="36"/>
    </w:rPr>
  </w:style>
  <w:style w:type="paragraph" w:styleId="Heading2">
    <w:name w:val="heading 2"/>
    <w:aliases w:val="Numbered Heading 2"/>
    <w:basedOn w:val="Normal"/>
    <w:next w:val="Normal"/>
    <w:link w:val="Heading2Char"/>
    <w:uiPriority w:val="9"/>
    <w:unhideWhenUsed/>
    <w:qFormat/>
    <w:rsid w:val="006777D3"/>
    <w:pPr>
      <w:keepNext/>
      <w:numPr>
        <w:ilvl w:val="1"/>
        <w:numId w:val="25"/>
      </w:numPr>
      <w:tabs>
        <w:tab w:val="left" w:pos="425"/>
      </w:tabs>
      <w:spacing w:before="360" w:after="240"/>
      <w:outlineLvl w:val="1"/>
    </w:pPr>
    <w:rPr>
      <w:rFonts w:eastAsiaTheme="majorEastAsia" w:cstheme="majorBidi"/>
      <w:iCs/>
      <w:sz w:val="28"/>
      <w:szCs w:val="28"/>
    </w:rPr>
  </w:style>
  <w:style w:type="paragraph" w:styleId="Heading3">
    <w:name w:val="heading 3"/>
    <w:basedOn w:val="Normal"/>
    <w:next w:val="Normal"/>
    <w:link w:val="Heading3Char"/>
    <w:semiHidden/>
    <w:unhideWhenUsed/>
    <w:qFormat/>
    <w:rsid w:val="00FB5F0A"/>
    <w:pPr>
      <w:spacing w:before="240"/>
      <w:outlineLvl w:val="2"/>
    </w:pPr>
    <w:rPr>
      <w:rFonts w:ascii="Arial Bold" w:hAnsi="Arial Bold"/>
      <w:b/>
      <w:bCs/>
      <w:color w:val="E81D32"/>
      <w:sz w:val="24"/>
    </w:rPr>
  </w:style>
  <w:style w:type="paragraph" w:styleId="Heading4">
    <w:name w:val="heading 4"/>
    <w:basedOn w:val="Normal"/>
    <w:next w:val="Normal"/>
    <w:link w:val="Heading4Char"/>
    <w:uiPriority w:val="9"/>
    <w:unhideWhenUsed/>
    <w:qFormat/>
    <w:rsid w:val="00E6439B"/>
    <w:pPr>
      <w:spacing w:before="200"/>
      <w:outlineLvl w:val="3"/>
    </w:pPr>
    <w:rPr>
      <w:rFonts w:eastAsiaTheme="majorEastAsia" w:cs="Arial"/>
      <w:b/>
      <w:bCs/>
      <w:i/>
      <w:iCs/>
      <w:szCs w:val="22"/>
    </w:rPr>
  </w:style>
  <w:style w:type="paragraph" w:styleId="Heading5">
    <w:name w:val="heading 5"/>
    <w:basedOn w:val="Normal"/>
    <w:next w:val="Normal"/>
    <w:link w:val="Heading5Char"/>
    <w:uiPriority w:val="9"/>
    <w:unhideWhenUsed/>
    <w:qFormat/>
    <w:rsid w:val="008D5CFE"/>
    <w:pPr>
      <w:spacing w:before="360"/>
      <w:outlineLvl w:val="4"/>
    </w:pPr>
    <w:rPr>
      <w:rFonts w:eastAsiaTheme="majorEastAsia" w:cs="Arial"/>
      <w:b/>
      <w:bCs/>
      <w:color w:val="7F7F7F" w:themeColor="text1" w:themeTint="80"/>
      <w:szCs w:val="22"/>
    </w:rPr>
  </w:style>
  <w:style w:type="paragraph" w:styleId="Heading6">
    <w:name w:val="heading 6"/>
    <w:basedOn w:val="Normal"/>
    <w:next w:val="Normal"/>
    <w:link w:val="Heading6Char"/>
    <w:uiPriority w:val="9"/>
    <w:semiHidden/>
    <w:unhideWhenUsed/>
    <w:qFormat/>
    <w:rsid w:val="00FB5F0A"/>
    <w:pPr>
      <w:spacing w:after="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FB5F0A"/>
    <w:pPr>
      <w:spacing w:after="0"/>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FB5F0A"/>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FB5F0A"/>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shaded">
    <w:name w:val="Boxed/shaded"/>
    <w:basedOn w:val="Normal"/>
    <w:qFormat/>
    <w:rsid w:val="00E6439B"/>
    <w:pPr>
      <w:keepNext/>
      <w:keepLines/>
      <w:pBdr>
        <w:top w:val="single" w:sz="8" w:space="10" w:color="F2F2F2" w:themeColor="background2"/>
        <w:left w:val="single" w:sz="8" w:space="10" w:color="F2F2F2" w:themeColor="background2"/>
        <w:bottom w:val="single" w:sz="8" w:space="10" w:color="F2F2F2" w:themeColor="background2"/>
        <w:right w:val="single" w:sz="8" w:space="10" w:color="F2F2F2" w:themeColor="background2"/>
      </w:pBdr>
      <w:shd w:val="clear" w:color="auto" w:fill="F2F2F2" w:themeFill="background2"/>
      <w:ind w:left="284" w:right="284"/>
    </w:pPr>
  </w:style>
  <w:style w:type="paragraph" w:customStyle="1" w:styleId="Disclaimer">
    <w:name w:val="Disclaimer"/>
    <w:basedOn w:val="Normal"/>
    <w:qFormat/>
    <w:rsid w:val="00FB5F0A"/>
    <w:pPr>
      <w:spacing w:after="60"/>
    </w:pPr>
    <w:rPr>
      <w:sz w:val="16"/>
    </w:rPr>
  </w:style>
  <w:style w:type="paragraph" w:customStyle="1" w:styleId="SWABullets">
    <w:name w:val="SWA Bullets"/>
    <w:basedOn w:val="Normal"/>
    <w:link w:val="SWABulletsChar"/>
    <w:semiHidden/>
    <w:qFormat/>
    <w:locked/>
    <w:rsid w:val="00FB5F0A"/>
    <w:pPr>
      <w:numPr>
        <w:numId w:val="12"/>
      </w:numPr>
      <w:overflowPunct w:val="0"/>
      <w:autoSpaceDE w:val="0"/>
      <w:autoSpaceDN w:val="0"/>
      <w:adjustRightInd w:val="0"/>
      <w:spacing w:after="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FB5F0A"/>
    <w:rPr>
      <w:rFonts w:ascii="Arial" w:eastAsia="Times New Roman" w:hAnsi="Arial" w:cs="Times New Roman"/>
      <w:sz w:val="20"/>
      <w:szCs w:val="20"/>
      <w:lang w:eastAsia="en-AU"/>
    </w:rPr>
  </w:style>
  <w:style w:type="paragraph" w:customStyle="1" w:styleId="TOC">
    <w:name w:val="TOC"/>
    <w:basedOn w:val="TOC1"/>
    <w:link w:val="TOCChar"/>
    <w:qFormat/>
    <w:rsid w:val="00FB5F0A"/>
    <w:pPr>
      <w:tabs>
        <w:tab w:val="right" w:leader="dot" w:pos="9344"/>
      </w:tabs>
      <w:spacing w:before="360" w:after="360"/>
    </w:pPr>
    <w:rPr>
      <w:rFonts w:eastAsia="Times New Roman"/>
      <w:b/>
      <w:bCs/>
      <w:caps/>
      <w:sz w:val="32"/>
      <w:szCs w:val="32"/>
    </w:rPr>
  </w:style>
  <w:style w:type="character" w:customStyle="1" w:styleId="TOCChar">
    <w:name w:val="TOC Char"/>
    <w:basedOn w:val="DefaultParagraphFont"/>
    <w:link w:val="TOC"/>
    <w:rsid w:val="00FB5F0A"/>
    <w:rPr>
      <w:rFonts w:ascii="Arial" w:eastAsia="Times New Roman" w:hAnsi="Arial" w:cs="Arial"/>
      <w:b/>
      <w:bCs/>
      <w:caps/>
      <w:sz w:val="32"/>
      <w:szCs w:val="32"/>
    </w:rPr>
  </w:style>
  <w:style w:type="paragraph" w:styleId="TOC1">
    <w:name w:val="toc 1"/>
    <w:basedOn w:val="Normal"/>
    <w:next w:val="Normal"/>
    <w:autoRedefine/>
    <w:uiPriority w:val="39"/>
    <w:unhideWhenUsed/>
    <w:rsid w:val="00FB5F0A"/>
    <w:pPr>
      <w:spacing w:after="100"/>
    </w:pPr>
  </w:style>
  <w:style w:type="paragraph" w:customStyle="1" w:styleId="Link">
    <w:name w:val="Link"/>
    <w:basedOn w:val="Normal"/>
    <w:link w:val="LinkChar"/>
    <w:qFormat/>
    <w:rsid w:val="00FB5F0A"/>
    <w:pPr>
      <w:spacing w:after="0"/>
    </w:pPr>
    <w:rPr>
      <w:rFonts w:eastAsia="Times New Roman" w:cs="Times New Roman"/>
      <w:lang w:eastAsia="en-AU"/>
    </w:rPr>
  </w:style>
  <w:style w:type="character" w:customStyle="1" w:styleId="LinkChar">
    <w:name w:val="Link Char"/>
    <w:basedOn w:val="DefaultParagraphFont"/>
    <w:link w:val="Link"/>
    <w:rsid w:val="00FB5F0A"/>
    <w:rPr>
      <w:rFonts w:ascii="Arial" w:eastAsia="Times New Roman" w:hAnsi="Arial" w:cs="Times New Roman"/>
      <w:sz w:val="20"/>
      <w:szCs w:val="24"/>
      <w:lang w:eastAsia="en-AU"/>
    </w:rPr>
  </w:style>
  <w:style w:type="character" w:customStyle="1" w:styleId="Emphasised">
    <w:name w:val="Emphasised"/>
    <w:uiPriority w:val="1"/>
    <w:qFormat/>
    <w:rsid w:val="00FB5F0A"/>
    <w:rPr>
      <w:sz w:val="32"/>
      <w:szCs w:val="32"/>
    </w:rPr>
  </w:style>
  <w:style w:type="paragraph" w:customStyle="1" w:styleId="SWA-NORMAL">
    <w:name w:val="SWA - NORMAL"/>
    <w:basedOn w:val="Normal"/>
    <w:qFormat/>
    <w:locked/>
    <w:rsid w:val="00FB5F0A"/>
    <w:pPr>
      <w:tabs>
        <w:tab w:val="left" w:pos="425"/>
      </w:tabs>
    </w:pPr>
  </w:style>
  <w:style w:type="paragraph" w:customStyle="1" w:styleId="TableContent">
    <w:name w:val="Table Content"/>
    <w:basedOn w:val="Normal"/>
    <w:link w:val="TableContentChar"/>
    <w:qFormat/>
    <w:rsid w:val="00FB5F0A"/>
    <w:pPr>
      <w:spacing w:after="0"/>
    </w:pPr>
    <w:rPr>
      <w:b/>
    </w:rPr>
  </w:style>
  <w:style w:type="character" w:customStyle="1" w:styleId="TableContentChar">
    <w:name w:val="Table Content Char"/>
    <w:basedOn w:val="DefaultParagraphFont"/>
    <w:link w:val="TableContent"/>
    <w:rsid w:val="00FB5F0A"/>
    <w:rPr>
      <w:rFonts w:ascii="Arial" w:hAnsi="Arial" w:cs="Arial"/>
      <w:b/>
      <w:sz w:val="20"/>
      <w:szCs w:val="20"/>
    </w:rPr>
  </w:style>
  <w:style w:type="paragraph" w:customStyle="1" w:styleId="Reporttitle">
    <w:name w:val="Report title"/>
    <w:basedOn w:val="Normal"/>
    <w:uiPriority w:val="19"/>
    <w:qFormat/>
    <w:rsid w:val="00FB5F0A"/>
    <w:pPr>
      <w:spacing w:after="0" w:line="560" w:lineRule="exact"/>
    </w:pPr>
    <w:rPr>
      <w:rFonts w:eastAsia="Times New Roman" w:cs="Times New Roman"/>
      <w:b/>
      <w:color w:val="5F5E5E" w:themeColor="accent2"/>
      <w:spacing w:val="-28"/>
      <w:sz w:val="53"/>
      <w:lang w:eastAsia="en-AU"/>
    </w:rPr>
  </w:style>
  <w:style w:type="paragraph" w:customStyle="1" w:styleId="Reportsubtitle">
    <w:name w:val="Report subtitle"/>
    <w:basedOn w:val="Normal"/>
    <w:uiPriority w:val="20"/>
    <w:qFormat/>
    <w:rsid w:val="00FB5F0A"/>
    <w:pPr>
      <w:spacing w:after="200" w:line="560" w:lineRule="exact"/>
    </w:pPr>
    <w:rPr>
      <w:rFonts w:eastAsia="Times New Roman" w:cs="Times New Roman"/>
      <w:color w:val="323232"/>
      <w:spacing w:val="-28"/>
      <w:sz w:val="48"/>
      <w:lang w:eastAsia="en-AU"/>
    </w:rPr>
  </w:style>
  <w:style w:type="paragraph" w:customStyle="1" w:styleId="Positionprofile">
    <w:name w:val="Position profile"/>
    <w:basedOn w:val="Normal"/>
    <w:qFormat/>
    <w:rsid w:val="00FB5F0A"/>
    <w:pPr>
      <w:keepNext/>
      <w:spacing w:after="240" w:line="240" w:lineRule="atLeast"/>
    </w:pPr>
    <w:rPr>
      <w:rFonts w:eastAsia="Times New Roman"/>
      <w:sz w:val="24"/>
      <w:lang w:eastAsia="en-AU"/>
    </w:rPr>
  </w:style>
  <w:style w:type="paragraph" w:customStyle="1" w:styleId="Paragraphbeforelist">
    <w:name w:val="Paragraph before list"/>
    <w:basedOn w:val="Paragraph"/>
    <w:uiPriority w:val="4"/>
    <w:qFormat/>
    <w:rsid w:val="00FB5F0A"/>
    <w:pPr>
      <w:spacing w:after="80"/>
    </w:pPr>
  </w:style>
  <w:style w:type="paragraph" w:customStyle="1" w:styleId="Bulletlevel1">
    <w:name w:val="Bullet level 1"/>
    <w:basedOn w:val="ListBullet"/>
    <w:uiPriority w:val="5"/>
    <w:qFormat/>
    <w:rsid w:val="00FB5F0A"/>
    <w:pPr>
      <w:numPr>
        <w:numId w:val="0"/>
      </w:numPr>
      <w:spacing w:after="80" w:line="240" w:lineRule="atLeast"/>
      <w:ind w:left="295" w:hanging="360"/>
    </w:pPr>
    <w:rPr>
      <w:lang w:eastAsia="en-AU"/>
    </w:rPr>
  </w:style>
  <w:style w:type="paragraph" w:styleId="ListBullet">
    <w:name w:val="List Bullet"/>
    <w:basedOn w:val="Normal"/>
    <w:qFormat/>
    <w:rsid w:val="006777D3"/>
    <w:pPr>
      <w:numPr>
        <w:numId w:val="6"/>
      </w:numPr>
    </w:pPr>
    <w:rPr>
      <w:rFonts w:eastAsia="Arial"/>
    </w:rPr>
  </w:style>
  <w:style w:type="paragraph" w:customStyle="1" w:styleId="Paragraph">
    <w:name w:val="Paragraph"/>
    <w:basedOn w:val="Normal"/>
    <w:qFormat/>
    <w:rsid w:val="00FB5F0A"/>
    <w:pPr>
      <w:keepNext/>
      <w:spacing w:after="240" w:line="240" w:lineRule="atLeast"/>
    </w:pPr>
    <w:rPr>
      <w:rFonts w:eastAsia="Times New Roman"/>
      <w:lang w:eastAsia="en-AU"/>
    </w:rPr>
  </w:style>
  <w:style w:type="paragraph" w:customStyle="1" w:styleId="Bulletlevel2">
    <w:name w:val="Bullet level 2"/>
    <w:basedOn w:val="ListBullet2"/>
    <w:uiPriority w:val="7"/>
    <w:qFormat/>
    <w:rsid w:val="00FB5F0A"/>
    <w:pPr>
      <w:numPr>
        <w:numId w:val="14"/>
      </w:numPr>
      <w:spacing w:after="80" w:line="240" w:lineRule="atLeast"/>
    </w:pPr>
    <w:rPr>
      <w:rFonts w:eastAsia="Times New Roman"/>
      <w:lang w:eastAsia="en-AU"/>
    </w:rPr>
  </w:style>
  <w:style w:type="paragraph" w:styleId="ListBullet2">
    <w:name w:val="List Bullet 2"/>
    <w:basedOn w:val="Normal"/>
    <w:qFormat/>
    <w:rsid w:val="00FB5F0A"/>
    <w:pPr>
      <w:numPr>
        <w:numId w:val="9"/>
      </w:numPr>
    </w:pPr>
  </w:style>
  <w:style w:type="paragraph" w:customStyle="1" w:styleId="Bulletlevel2last">
    <w:name w:val="Bullet level 2 last"/>
    <w:basedOn w:val="Bulletlevel2"/>
    <w:uiPriority w:val="8"/>
    <w:qFormat/>
    <w:rsid w:val="00FB5F0A"/>
    <w:pPr>
      <w:spacing w:after="240"/>
    </w:pPr>
  </w:style>
  <w:style w:type="paragraph" w:customStyle="1" w:styleId="Heading2alt">
    <w:name w:val="Heading 2 alt"/>
    <w:next w:val="Paragraph"/>
    <w:link w:val="Heading2altChar"/>
    <w:qFormat/>
    <w:rsid w:val="006777D3"/>
    <w:pPr>
      <w:spacing w:before="480" w:after="360"/>
    </w:pPr>
    <w:rPr>
      <w:rFonts w:ascii="Arial" w:eastAsiaTheme="majorEastAsia" w:hAnsi="Arial" w:cstheme="majorBidi"/>
      <w:bCs/>
      <w:iCs/>
      <w:sz w:val="28"/>
      <w:szCs w:val="40"/>
    </w:rPr>
  </w:style>
  <w:style w:type="character" w:customStyle="1" w:styleId="Heading2altChar">
    <w:name w:val="Heading 2 alt Char"/>
    <w:basedOn w:val="Heading2Char"/>
    <w:link w:val="Heading2alt"/>
    <w:rsid w:val="006777D3"/>
    <w:rPr>
      <w:rFonts w:ascii="Arial" w:eastAsiaTheme="majorEastAsia" w:hAnsi="Arial" w:cstheme="majorBidi"/>
      <w:bCs/>
      <w:iCs/>
      <w:sz w:val="28"/>
      <w:szCs w:val="40"/>
    </w:rPr>
  </w:style>
  <w:style w:type="character" w:customStyle="1" w:styleId="Heading2Char">
    <w:name w:val="Heading 2 Char"/>
    <w:aliases w:val="Numbered Heading 2 Char"/>
    <w:basedOn w:val="DefaultParagraphFont"/>
    <w:link w:val="Heading2"/>
    <w:uiPriority w:val="9"/>
    <w:rsid w:val="00FB5F0A"/>
    <w:rPr>
      <w:rFonts w:ascii="Arial" w:eastAsiaTheme="majorEastAsia" w:hAnsi="Arial" w:cstheme="majorBidi"/>
      <w:iCs/>
      <w:sz w:val="28"/>
      <w:szCs w:val="28"/>
    </w:rPr>
  </w:style>
  <w:style w:type="character" w:customStyle="1" w:styleId="Heading1Char">
    <w:name w:val="Heading 1 Char"/>
    <w:aliases w:val="Numbered Heading 1 Char"/>
    <w:basedOn w:val="DefaultParagraphFont"/>
    <w:link w:val="Heading1"/>
    <w:uiPriority w:val="9"/>
    <w:rsid w:val="00F820E9"/>
    <w:rPr>
      <w:rFonts w:ascii="Arial" w:hAnsi="Arial" w:cs="Arial"/>
      <w:b/>
      <w:bCs/>
      <w:sz w:val="36"/>
      <w:szCs w:val="36"/>
    </w:rPr>
  </w:style>
  <w:style w:type="paragraph" w:styleId="Title">
    <w:name w:val="Title"/>
    <w:aliases w:val="SWA Title"/>
    <w:basedOn w:val="Normal"/>
    <w:next w:val="Heading1"/>
    <w:link w:val="TitleChar"/>
    <w:uiPriority w:val="10"/>
    <w:qFormat/>
    <w:rsid w:val="00FB5F0A"/>
    <w:pPr>
      <w:tabs>
        <w:tab w:val="left" w:pos="425"/>
      </w:tabs>
      <w:spacing w:before="480" w:after="360"/>
    </w:pPr>
    <w:rPr>
      <w:b/>
      <w:bCs/>
      <w:sz w:val="56"/>
      <w:szCs w:val="56"/>
    </w:rPr>
  </w:style>
  <w:style w:type="character" w:customStyle="1" w:styleId="TitleChar">
    <w:name w:val="Title Char"/>
    <w:aliases w:val="SWA Title Char"/>
    <w:basedOn w:val="DefaultParagraphFont"/>
    <w:link w:val="Title"/>
    <w:uiPriority w:val="10"/>
    <w:rsid w:val="00FB5F0A"/>
    <w:rPr>
      <w:rFonts w:ascii="Arial" w:hAnsi="Arial" w:cs="Arial"/>
      <w:b/>
      <w:bCs/>
      <w:sz w:val="56"/>
      <w:szCs w:val="56"/>
    </w:rPr>
  </w:style>
  <w:style w:type="character" w:customStyle="1" w:styleId="Heading3Char">
    <w:name w:val="Heading 3 Char"/>
    <w:basedOn w:val="DefaultParagraphFont"/>
    <w:link w:val="Heading3"/>
    <w:semiHidden/>
    <w:rsid w:val="00FB5F0A"/>
    <w:rPr>
      <w:rFonts w:ascii="Arial Bold" w:hAnsi="Arial Bold" w:cs="Arial"/>
      <w:b/>
      <w:bCs/>
      <w:color w:val="E81D32"/>
      <w:sz w:val="24"/>
      <w:szCs w:val="24"/>
    </w:rPr>
  </w:style>
  <w:style w:type="character" w:customStyle="1" w:styleId="Heading4Char">
    <w:name w:val="Heading 4 Char"/>
    <w:basedOn w:val="DefaultParagraphFont"/>
    <w:link w:val="Heading4"/>
    <w:uiPriority w:val="9"/>
    <w:rsid w:val="00E6439B"/>
    <w:rPr>
      <w:rFonts w:ascii="Arial" w:eastAsiaTheme="majorEastAsia" w:hAnsi="Arial" w:cs="Arial"/>
      <w:b/>
      <w:bCs/>
      <w:i/>
      <w:iCs/>
      <w:sz w:val="20"/>
    </w:rPr>
  </w:style>
  <w:style w:type="character" w:customStyle="1" w:styleId="Heading5Char">
    <w:name w:val="Heading 5 Char"/>
    <w:basedOn w:val="DefaultParagraphFont"/>
    <w:link w:val="Heading5"/>
    <w:uiPriority w:val="9"/>
    <w:rsid w:val="008D5CFE"/>
    <w:rPr>
      <w:rFonts w:ascii="Arial" w:eastAsiaTheme="majorEastAsia" w:hAnsi="Arial" w:cs="Arial"/>
      <w:b/>
      <w:bCs/>
      <w:color w:val="7F7F7F" w:themeColor="text1" w:themeTint="80"/>
      <w:sz w:val="20"/>
    </w:rPr>
  </w:style>
  <w:style w:type="character" w:customStyle="1" w:styleId="Heading6Char">
    <w:name w:val="Heading 6 Char"/>
    <w:basedOn w:val="DefaultParagraphFont"/>
    <w:link w:val="Heading6"/>
    <w:uiPriority w:val="9"/>
    <w:semiHidden/>
    <w:rsid w:val="00FB5F0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B5F0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B5F0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B5F0A"/>
    <w:rPr>
      <w:rFonts w:asciiTheme="majorHAnsi" w:eastAsiaTheme="majorEastAsia" w:hAnsiTheme="majorHAnsi" w:cstheme="majorBidi"/>
      <w:i/>
      <w:iCs/>
      <w:spacing w:val="5"/>
      <w:sz w:val="20"/>
      <w:szCs w:val="20"/>
    </w:rPr>
  </w:style>
  <w:style w:type="paragraph" w:styleId="Caption">
    <w:name w:val="caption"/>
    <w:aliases w:val="Table heading"/>
    <w:basedOn w:val="Normal"/>
    <w:next w:val="Normal"/>
    <w:uiPriority w:val="35"/>
    <w:qFormat/>
    <w:rsid w:val="00FB5F0A"/>
    <w:pPr>
      <w:keepNext/>
      <w:overflowPunct w:val="0"/>
      <w:autoSpaceDE w:val="0"/>
      <w:autoSpaceDN w:val="0"/>
      <w:adjustRightInd w:val="0"/>
      <w:spacing w:before="240" w:after="0"/>
      <w:textAlignment w:val="baseline"/>
    </w:pPr>
    <w:rPr>
      <w:b/>
      <w:bCs/>
    </w:rPr>
  </w:style>
  <w:style w:type="paragraph" w:styleId="ListNumber">
    <w:name w:val="List Number"/>
    <w:basedOn w:val="Normal"/>
    <w:qFormat/>
    <w:rsid w:val="00FB5F0A"/>
    <w:pPr>
      <w:numPr>
        <w:numId w:val="8"/>
      </w:numPr>
    </w:pPr>
    <w:rPr>
      <w:rFonts w:eastAsia="Times New Roman" w:cs="Times New Roman"/>
    </w:rPr>
  </w:style>
  <w:style w:type="paragraph" w:styleId="ListNumber2">
    <w:name w:val="List Number 2"/>
    <w:basedOn w:val="Normal"/>
    <w:qFormat/>
    <w:rsid w:val="00FB5F0A"/>
    <w:pPr>
      <w:numPr>
        <w:numId w:val="11"/>
      </w:numPr>
    </w:pPr>
    <w:rPr>
      <w:rFonts w:eastAsia="Times New Roman" w:cs="Times New Roman"/>
    </w:rPr>
  </w:style>
  <w:style w:type="paragraph" w:styleId="Subtitle">
    <w:name w:val="Subtitle"/>
    <w:basedOn w:val="Normal"/>
    <w:next w:val="Normal"/>
    <w:link w:val="SubtitleChar"/>
    <w:uiPriority w:val="2"/>
    <w:qFormat/>
    <w:rsid w:val="00FB5F0A"/>
    <w:pPr>
      <w:spacing w:after="60"/>
      <w:outlineLvl w:val="1"/>
    </w:pPr>
    <w:rPr>
      <w:rFonts w:eastAsiaTheme="majorEastAsia" w:cstheme="majorBidi"/>
      <w:color w:val="E20000"/>
      <w:sz w:val="22"/>
    </w:rPr>
  </w:style>
  <w:style w:type="character" w:customStyle="1" w:styleId="SubtitleChar">
    <w:name w:val="Subtitle Char"/>
    <w:basedOn w:val="DefaultParagraphFont"/>
    <w:link w:val="Subtitle"/>
    <w:uiPriority w:val="2"/>
    <w:rsid w:val="00FB5F0A"/>
    <w:rPr>
      <w:rFonts w:ascii="Arial" w:eastAsiaTheme="majorEastAsia" w:hAnsi="Arial" w:cstheme="majorBidi"/>
      <w:color w:val="E20000"/>
      <w:szCs w:val="24"/>
    </w:rPr>
  </w:style>
  <w:style w:type="character" w:styleId="Strong">
    <w:name w:val="Strong"/>
    <w:uiPriority w:val="22"/>
    <w:qFormat/>
    <w:rsid w:val="00FB5F0A"/>
    <w:rPr>
      <w:b/>
      <w:bCs/>
    </w:rPr>
  </w:style>
  <w:style w:type="character" w:styleId="Emphasis">
    <w:name w:val="Emphasis"/>
    <w:qFormat/>
    <w:rsid w:val="00FB5F0A"/>
    <w:rPr>
      <w:bCs/>
      <w:i/>
    </w:rPr>
  </w:style>
  <w:style w:type="paragraph" w:styleId="ListParagraph">
    <w:name w:val="List Paragraph"/>
    <w:basedOn w:val="Normal"/>
    <w:link w:val="ListParagraphChar"/>
    <w:uiPriority w:val="34"/>
    <w:qFormat/>
    <w:rsid w:val="00FB5F0A"/>
    <w:pPr>
      <w:tabs>
        <w:tab w:val="num" w:pos="720"/>
      </w:tabs>
      <w:ind w:left="1440" w:hanging="360"/>
      <w:contextualSpacing/>
    </w:pPr>
  </w:style>
  <w:style w:type="character" w:customStyle="1" w:styleId="ListParagraphChar">
    <w:name w:val="List Paragraph Char"/>
    <w:basedOn w:val="DefaultParagraphFont"/>
    <w:link w:val="ListParagraph"/>
    <w:uiPriority w:val="34"/>
    <w:rsid w:val="00FB5F0A"/>
    <w:rPr>
      <w:rFonts w:ascii="Arial" w:hAnsi="Arial" w:cs="Arial"/>
      <w:sz w:val="20"/>
      <w:szCs w:val="20"/>
    </w:rPr>
  </w:style>
  <w:style w:type="paragraph" w:styleId="Quote">
    <w:name w:val="Quote"/>
    <w:aliases w:val="Summary"/>
    <w:basedOn w:val="Normal"/>
    <w:next w:val="Normal"/>
    <w:link w:val="QuoteChar"/>
    <w:uiPriority w:val="29"/>
    <w:qFormat/>
    <w:rsid w:val="008D5CFE"/>
    <w:pPr>
      <w:spacing w:before="120"/>
      <w:ind w:left="425" w:right="425"/>
    </w:pPr>
    <w:rPr>
      <w:i/>
      <w:szCs w:val="22"/>
    </w:rPr>
  </w:style>
  <w:style w:type="character" w:customStyle="1" w:styleId="QuoteChar">
    <w:name w:val="Quote Char"/>
    <w:aliases w:val="Summary Char"/>
    <w:basedOn w:val="DefaultParagraphFont"/>
    <w:link w:val="Quote"/>
    <w:uiPriority w:val="29"/>
    <w:rsid w:val="008D5CFE"/>
    <w:rPr>
      <w:rFonts w:ascii="Arial" w:hAnsi="Arial"/>
      <w:i/>
      <w:sz w:val="20"/>
    </w:rPr>
  </w:style>
  <w:style w:type="paragraph" w:styleId="IntenseQuote">
    <w:name w:val="Intense Quote"/>
    <w:basedOn w:val="Normal"/>
    <w:next w:val="Normal"/>
    <w:link w:val="IntenseQuoteChar"/>
    <w:uiPriority w:val="30"/>
    <w:qFormat/>
    <w:rsid w:val="00FB5F0A"/>
    <w:pPr>
      <w:pBdr>
        <w:top w:val="single" w:sz="4" w:space="10" w:color="E81D32" w:themeColor="accent1"/>
        <w:bottom w:val="single" w:sz="4" w:space="10" w:color="E81D32" w:themeColor="accent1"/>
      </w:pBdr>
      <w:spacing w:before="360" w:after="360"/>
      <w:ind w:left="864" w:right="864"/>
      <w:jc w:val="center"/>
    </w:pPr>
    <w:rPr>
      <w:i/>
      <w:iCs/>
      <w:color w:val="E81D32" w:themeColor="accent1"/>
    </w:rPr>
  </w:style>
  <w:style w:type="character" w:customStyle="1" w:styleId="IntenseQuoteChar">
    <w:name w:val="Intense Quote Char"/>
    <w:basedOn w:val="DefaultParagraphFont"/>
    <w:link w:val="IntenseQuote"/>
    <w:uiPriority w:val="30"/>
    <w:rsid w:val="00FB5F0A"/>
    <w:rPr>
      <w:rFonts w:ascii="Arial" w:hAnsi="Arial" w:cs="Arial"/>
      <w:i/>
      <w:iCs/>
      <w:color w:val="E81D32" w:themeColor="accent1"/>
      <w:sz w:val="20"/>
      <w:szCs w:val="20"/>
    </w:rPr>
  </w:style>
  <w:style w:type="paragraph" w:styleId="TOCHeading">
    <w:name w:val="TOC Heading"/>
    <w:basedOn w:val="Heading1"/>
    <w:next w:val="Normal"/>
    <w:uiPriority w:val="39"/>
    <w:semiHidden/>
    <w:unhideWhenUsed/>
    <w:qFormat/>
    <w:rsid w:val="00FB5F0A"/>
    <w:pPr>
      <w:outlineLvl w:val="9"/>
    </w:pPr>
    <w:rPr>
      <w:b w:val="0"/>
      <w:bCs w:val="0"/>
      <w:sz w:val="56"/>
      <w:szCs w:val="20"/>
      <w:lang w:bidi="en-US"/>
    </w:rPr>
  </w:style>
  <w:style w:type="paragraph" w:styleId="TOC2">
    <w:name w:val="toc 2"/>
    <w:basedOn w:val="Normal"/>
    <w:next w:val="Normal"/>
    <w:autoRedefine/>
    <w:uiPriority w:val="39"/>
    <w:unhideWhenUsed/>
    <w:rsid w:val="00FB5F0A"/>
    <w:pPr>
      <w:spacing w:after="100"/>
      <w:ind w:left="200"/>
    </w:pPr>
  </w:style>
  <w:style w:type="paragraph" w:customStyle="1" w:styleId="Boxed">
    <w:name w:val="Boxed"/>
    <w:basedOn w:val="Normal"/>
    <w:rsid w:val="00FB5F0A"/>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styleId="Footer">
    <w:name w:val="footer"/>
    <w:basedOn w:val="Normal"/>
    <w:link w:val="FooterChar"/>
    <w:uiPriority w:val="99"/>
    <w:rsid w:val="00FB5F0A"/>
    <w:pPr>
      <w:tabs>
        <w:tab w:val="center" w:pos="4513"/>
        <w:tab w:val="right" w:pos="9026"/>
      </w:tabs>
      <w:spacing w:after="0"/>
    </w:pPr>
    <w:rPr>
      <w:sz w:val="16"/>
    </w:rPr>
  </w:style>
  <w:style w:type="character" w:customStyle="1" w:styleId="FooterChar">
    <w:name w:val="Footer Char"/>
    <w:basedOn w:val="DefaultParagraphFont"/>
    <w:link w:val="Footer"/>
    <w:uiPriority w:val="99"/>
    <w:rsid w:val="00FB5F0A"/>
    <w:rPr>
      <w:rFonts w:ascii="Arial" w:hAnsi="Arial"/>
      <w:sz w:val="16"/>
      <w:szCs w:val="24"/>
    </w:rPr>
  </w:style>
  <w:style w:type="paragraph" w:styleId="Header">
    <w:name w:val="header"/>
    <w:basedOn w:val="Normal"/>
    <w:link w:val="HeaderChar"/>
    <w:uiPriority w:val="99"/>
    <w:rsid w:val="00FB5F0A"/>
    <w:pPr>
      <w:tabs>
        <w:tab w:val="center" w:pos="4513"/>
        <w:tab w:val="right" w:pos="9026"/>
      </w:tabs>
      <w:spacing w:after="0"/>
    </w:pPr>
  </w:style>
  <w:style w:type="character" w:customStyle="1" w:styleId="HeaderChar">
    <w:name w:val="Header Char"/>
    <w:basedOn w:val="DefaultParagraphFont"/>
    <w:link w:val="Header"/>
    <w:uiPriority w:val="99"/>
    <w:rsid w:val="00FB5F0A"/>
    <w:rPr>
      <w:rFonts w:ascii="Arial" w:hAnsi="Arial"/>
      <w:szCs w:val="24"/>
    </w:rPr>
  </w:style>
  <w:style w:type="character" w:styleId="Hyperlink">
    <w:name w:val="Hyperlink"/>
    <w:basedOn w:val="DefaultParagraphFont"/>
    <w:uiPriority w:val="99"/>
    <w:rsid w:val="00FB5F0A"/>
    <w:rPr>
      <w:color w:val="145B85"/>
      <w:u w:val="single"/>
    </w:rPr>
  </w:style>
  <w:style w:type="paragraph" w:customStyle="1" w:styleId="Titledate">
    <w:name w:val="Title date"/>
    <w:basedOn w:val="TOC1"/>
    <w:qFormat/>
    <w:rsid w:val="00FB5F0A"/>
    <w:pPr>
      <w:tabs>
        <w:tab w:val="left" w:pos="357"/>
        <w:tab w:val="right" w:leader="dot" w:pos="9072"/>
      </w:tabs>
    </w:pPr>
    <w:rPr>
      <w:bCs/>
      <w:caps/>
      <w:noProof/>
      <w:sz w:val="36"/>
      <w:szCs w:val="36"/>
    </w:rPr>
  </w:style>
  <w:style w:type="character" w:customStyle="1" w:styleId="SWADisclaimerheadingChar">
    <w:name w:val="SWA Disclaimer heading Char"/>
    <w:basedOn w:val="DefaultParagraphFont"/>
    <w:link w:val="SWADisclaimerheading"/>
    <w:locked/>
    <w:rsid w:val="00FB5F0A"/>
    <w:rPr>
      <w:rFonts w:ascii="Arial" w:eastAsiaTheme="majorEastAsia" w:hAnsi="Arial" w:cstheme="majorBidi"/>
      <w:b/>
      <w:color w:val="145B85"/>
      <w:spacing w:val="-3"/>
      <w:sz w:val="14"/>
      <w:szCs w:val="14"/>
    </w:rPr>
  </w:style>
  <w:style w:type="paragraph" w:customStyle="1" w:styleId="SWADisclaimerheading">
    <w:name w:val="SWA Disclaimer heading"/>
    <w:basedOn w:val="Normal"/>
    <w:link w:val="SWADisclaimerheadingChar"/>
    <w:qFormat/>
    <w:rsid w:val="00FB5F0A"/>
    <w:pPr>
      <w:spacing w:before="120" w:line="276" w:lineRule="auto"/>
    </w:pPr>
    <w:rPr>
      <w:rFonts w:eastAsiaTheme="majorEastAsia" w:cstheme="majorBidi"/>
      <w:b/>
      <w:color w:val="145B85"/>
      <w:spacing w:val="-3"/>
      <w:sz w:val="14"/>
      <w:szCs w:val="14"/>
    </w:rPr>
  </w:style>
  <w:style w:type="paragraph" w:styleId="TOC3">
    <w:name w:val="toc 3"/>
    <w:basedOn w:val="Normal"/>
    <w:next w:val="Normal"/>
    <w:autoRedefine/>
    <w:uiPriority w:val="39"/>
    <w:unhideWhenUsed/>
    <w:rsid w:val="00D96F47"/>
    <w:pPr>
      <w:spacing w:after="100"/>
      <w:ind w:left="440"/>
    </w:pPr>
  </w:style>
  <w:style w:type="table" w:styleId="LightShading-Accent2">
    <w:name w:val="Light Shading Accent 2"/>
    <w:aliases w:val="SWA Table Style"/>
    <w:basedOn w:val="TableNormal"/>
    <w:uiPriority w:val="60"/>
    <w:rsid w:val="00E6439B"/>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E81D32" w:themeFill="accent1"/>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D7D7D7"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customStyle="1" w:styleId="Heading1alt">
    <w:name w:val="Heading 1 alt"/>
    <w:qFormat/>
    <w:rsid w:val="006777D3"/>
    <w:pPr>
      <w:spacing w:before="480" w:after="360"/>
    </w:pPr>
    <w:rPr>
      <w:rFonts w:ascii="Arial" w:hAnsi="Arial" w:cs="Arial"/>
      <w:b/>
      <w:bCs/>
      <w:sz w:val="36"/>
      <w:szCs w:val="36"/>
    </w:rPr>
  </w:style>
  <w:style w:type="paragraph" w:customStyle="1" w:styleId="Emphasisquote">
    <w:name w:val="Emphasis quote"/>
    <w:next w:val="Paragraph"/>
    <w:link w:val="EmphasisquoteChar"/>
    <w:qFormat/>
    <w:rsid w:val="008D5CFE"/>
    <w:pPr>
      <w:pBdr>
        <w:left w:val="single" w:sz="12" w:space="14" w:color="E81D32" w:themeColor="accent1"/>
      </w:pBdr>
      <w:spacing w:before="240" w:after="240" w:line="240" w:lineRule="auto"/>
      <w:ind w:left="720" w:right="2552"/>
    </w:pPr>
    <w:rPr>
      <w:rFonts w:ascii="Arial" w:hAnsi="Arial"/>
      <w:szCs w:val="24"/>
    </w:rPr>
  </w:style>
  <w:style w:type="character" w:styleId="BookTitle">
    <w:name w:val="Book Title"/>
    <w:basedOn w:val="DefaultParagraphFont"/>
    <w:uiPriority w:val="33"/>
    <w:qFormat/>
    <w:rsid w:val="00DB7B01"/>
    <w:rPr>
      <w:b/>
      <w:bCs/>
      <w:i/>
      <w:iCs/>
      <w:spacing w:val="5"/>
    </w:rPr>
  </w:style>
  <w:style w:type="character" w:customStyle="1" w:styleId="EmphasisquoteChar">
    <w:name w:val="Emphasis quote Char"/>
    <w:basedOn w:val="QuoteChar"/>
    <w:link w:val="Emphasisquote"/>
    <w:rsid w:val="008D5CFE"/>
    <w:rPr>
      <w:rFonts w:ascii="Arial" w:hAnsi="Arial"/>
      <w:i/>
      <w:sz w:val="20"/>
      <w:szCs w:val="24"/>
    </w:rPr>
  </w:style>
  <w:style w:type="paragraph" w:customStyle="1" w:styleId="SWATableheader">
    <w:name w:val="SWA Table header"/>
    <w:link w:val="SWATableheaderChar"/>
    <w:qFormat/>
    <w:rsid w:val="002F3EFF"/>
    <w:pPr>
      <w:spacing w:before="120" w:after="120"/>
    </w:pPr>
    <w:rPr>
      <w:rFonts w:ascii="Arial" w:eastAsiaTheme="majorEastAsia" w:hAnsi="Arial" w:cstheme="majorBidi"/>
      <w:b/>
      <w:color w:val="E81D32" w:themeColor="accent1"/>
      <w:spacing w:val="-3"/>
      <w:sz w:val="20"/>
    </w:rPr>
  </w:style>
  <w:style w:type="character" w:customStyle="1" w:styleId="SWATableheaderChar">
    <w:name w:val="SWA Table header Char"/>
    <w:basedOn w:val="DefaultParagraphFont"/>
    <w:link w:val="SWATableheader"/>
    <w:rsid w:val="002F3EFF"/>
    <w:rPr>
      <w:rFonts w:ascii="Arial" w:eastAsiaTheme="majorEastAsia" w:hAnsi="Arial" w:cstheme="majorBidi"/>
      <w:b/>
      <w:color w:val="E81D32" w:themeColor="accent1"/>
      <w:spacing w:val="-3"/>
      <w:sz w:val="20"/>
    </w:rPr>
  </w:style>
  <w:style w:type="paragraph" w:customStyle="1" w:styleId="SWAFeaturetext">
    <w:name w:val="SWA Feature text"/>
    <w:basedOn w:val="Normal"/>
    <w:link w:val="SWAFeaturetextChar"/>
    <w:qFormat/>
    <w:rsid w:val="00331ADA"/>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rPr>
      <w:rFonts w:eastAsia="Times New Roman" w:cs="Times New Roman"/>
      <w:lang w:eastAsia="en-AU"/>
    </w:rPr>
  </w:style>
  <w:style w:type="character" w:customStyle="1" w:styleId="SWAFeaturetextChar">
    <w:name w:val="SWA Feature text Char"/>
    <w:basedOn w:val="DefaultParagraphFont"/>
    <w:link w:val="SWAFeaturetext"/>
    <w:rsid w:val="00331ADA"/>
    <w:rPr>
      <w:rFonts w:ascii="Arial" w:eastAsia="Times New Roman" w:hAnsi="Arial" w:cs="Times New Roman"/>
      <w:sz w:val="20"/>
      <w:szCs w:val="24"/>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331ADA"/>
    <w:pPr>
      <w:keepNext/>
      <w:numPr>
        <w:numId w:val="0"/>
      </w:num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tabs>
        <w:tab w:val="clear" w:pos="425"/>
      </w:tabs>
      <w:spacing w:before="360" w:after="120"/>
      <w:ind w:right="0"/>
    </w:pPr>
    <w:rPr>
      <w:rFonts w:eastAsiaTheme="majorEastAsia"/>
      <w:bCs w:val="0"/>
      <w:kern w:val="32"/>
      <w:sz w:val="32"/>
      <w:szCs w:val="22"/>
      <w:lang w:eastAsia="en-AU"/>
    </w:rPr>
  </w:style>
  <w:style w:type="character" w:customStyle="1" w:styleId="SWAFeaturepagetitleChar">
    <w:name w:val="SWA Feature page title Char"/>
    <w:basedOn w:val="DefaultParagraphFont"/>
    <w:link w:val="SWAFeaturepagetitle"/>
    <w:rsid w:val="00331ADA"/>
    <w:rPr>
      <w:rFonts w:ascii="Arial" w:eastAsiaTheme="majorEastAsia" w:hAnsi="Arial" w:cs="Arial"/>
      <w:b/>
      <w:kern w:val="32"/>
      <w:sz w:val="32"/>
      <w:shd w:val="clear" w:color="auto" w:fill="F2F2F2" w:themeFill="background1" w:themeFillShade="F2"/>
      <w:lang w:eastAsia="en-AU"/>
    </w:rPr>
  </w:style>
  <w:style w:type="paragraph" w:customStyle="1" w:styleId="SwaHeading1featurepage">
    <w:name w:val="Swa Heading 1 feature page"/>
    <w:basedOn w:val="SWAFeaturepagetitle"/>
    <w:link w:val="SwaHeading1featurepageChar"/>
    <w:qFormat/>
    <w:rsid w:val="00331ADA"/>
    <w:rPr>
      <w:color w:val="000000" w:themeColor="text1"/>
    </w:rPr>
  </w:style>
  <w:style w:type="paragraph" w:customStyle="1" w:styleId="SWAHeading2Featurepage">
    <w:name w:val="SWA Heading 2 Feature page"/>
    <w:basedOn w:val="SwaHeading1featurepage"/>
    <w:link w:val="SWAHeading2FeaturepageChar"/>
    <w:qFormat/>
    <w:rsid w:val="00331ADA"/>
    <w:rPr>
      <w:b w:val="0"/>
      <w:sz w:val="28"/>
    </w:rPr>
  </w:style>
  <w:style w:type="character" w:customStyle="1" w:styleId="SwaHeading1featurepageChar">
    <w:name w:val="Swa Heading 1 feature page Char"/>
    <w:basedOn w:val="SWAFeaturepagetitleChar"/>
    <w:link w:val="SwaHeading1featurepage"/>
    <w:rsid w:val="00331ADA"/>
    <w:rPr>
      <w:rFonts w:ascii="Arial" w:eastAsiaTheme="majorEastAsia" w:hAnsi="Arial" w:cs="Arial"/>
      <w:b/>
      <w:color w:val="000000" w:themeColor="text1"/>
      <w:kern w:val="32"/>
      <w:sz w:val="32"/>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31ADA"/>
    <w:rPr>
      <w:rFonts w:ascii="Arial" w:eastAsiaTheme="majorEastAsia" w:hAnsi="Arial" w:cs="Arial"/>
      <w:b w:val="0"/>
      <w:color w:val="000000" w:themeColor="text1"/>
      <w:kern w:val="32"/>
      <w:sz w:val="28"/>
      <w:shd w:val="clear" w:color="auto" w:fill="F2F2F2" w:themeFill="background1" w:themeFillShade="F2"/>
      <w:lang w:eastAsia="en-AU"/>
    </w:rPr>
  </w:style>
  <w:style w:type="paragraph" w:styleId="FootnoteText">
    <w:name w:val="footnote text"/>
    <w:basedOn w:val="Normal"/>
    <w:link w:val="FootnoteTextChar"/>
    <w:uiPriority w:val="99"/>
    <w:semiHidden/>
    <w:unhideWhenUsed/>
    <w:rsid w:val="00C86576"/>
    <w:pPr>
      <w:spacing w:after="0"/>
    </w:pPr>
    <w:rPr>
      <w:rFonts w:asciiTheme="minorHAnsi" w:hAnsiTheme="minorHAnsi"/>
      <w:kern w:val="2"/>
      <w:szCs w:val="20"/>
      <w14:ligatures w14:val="standardContextual"/>
    </w:rPr>
  </w:style>
  <w:style w:type="character" w:customStyle="1" w:styleId="FootnoteTextChar">
    <w:name w:val="Footnote Text Char"/>
    <w:basedOn w:val="DefaultParagraphFont"/>
    <w:link w:val="FootnoteText"/>
    <w:uiPriority w:val="99"/>
    <w:semiHidden/>
    <w:rsid w:val="00C86576"/>
    <w:rPr>
      <w:kern w:val="2"/>
      <w:sz w:val="20"/>
      <w:szCs w:val="20"/>
      <w14:ligatures w14:val="standardContextual"/>
    </w:rPr>
  </w:style>
  <w:style w:type="character" w:styleId="FootnoteReference">
    <w:name w:val="footnote reference"/>
    <w:basedOn w:val="DefaultParagraphFont"/>
    <w:uiPriority w:val="99"/>
    <w:semiHidden/>
    <w:unhideWhenUsed/>
    <w:rsid w:val="00C86576"/>
    <w:rPr>
      <w:vertAlign w:val="superscript"/>
    </w:rPr>
  </w:style>
  <w:style w:type="paragraph" w:styleId="Revision">
    <w:name w:val="Revision"/>
    <w:hidden/>
    <w:uiPriority w:val="99"/>
    <w:semiHidden/>
    <w:rsid w:val="00C86576"/>
    <w:pPr>
      <w:spacing w:after="0" w:line="240" w:lineRule="auto"/>
    </w:pPr>
    <w:rPr>
      <w:kern w:val="2"/>
      <w14:ligatures w14:val="standardContextual"/>
    </w:rPr>
  </w:style>
  <w:style w:type="character" w:styleId="CommentReference">
    <w:name w:val="annotation reference"/>
    <w:basedOn w:val="DefaultParagraphFont"/>
    <w:uiPriority w:val="99"/>
    <w:semiHidden/>
    <w:unhideWhenUsed/>
    <w:rsid w:val="00C86576"/>
    <w:rPr>
      <w:sz w:val="16"/>
      <w:szCs w:val="16"/>
    </w:rPr>
  </w:style>
  <w:style w:type="paragraph" w:styleId="CommentText">
    <w:name w:val="annotation text"/>
    <w:basedOn w:val="Normal"/>
    <w:link w:val="CommentTextChar"/>
    <w:uiPriority w:val="99"/>
    <w:unhideWhenUsed/>
    <w:rsid w:val="00C86576"/>
    <w:pPr>
      <w:spacing w:after="160"/>
    </w:pPr>
    <w:rPr>
      <w:rFonts w:asciiTheme="minorHAnsi" w:hAnsiTheme="minorHAnsi"/>
      <w:kern w:val="2"/>
      <w:szCs w:val="20"/>
      <w14:ligatures w14:val="standardContextual"/>
    </w:rPr>
  </w:style>
  <w:style w:type="character" w:customStyle="1" w:styleId="CommentTextChar">
    <w:name w:val="Comment Text Char"/>
    <w:basedOn w:val="DefaultParagraphFont"/>
    <w:link w:val="CommentText"/>
    <w:uiPriority w:val="99"/>
    <w:rsid w:val="00C86576"/>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C86576"/>
    <w:rPr>
      <w:b/>
      <w:bCs/>
    </w:rPr>
  </w:style>
  <w:style w:type="character" w:customStyle="1" w:styleId="CommentSubjectChar">
    <w:name w:val="Comment Subject Char"/>
    <w:basedOn w:val="CommentTextChar"/>
    <w:link w:val="CommentSubject"/>
    <w:uiPriority w:val="99"/>
    <w:semiHidden/>
    <w:rsid w:val="00C86576"/>
    <w:rPr>
      <w:b/>
      <w:bCs/>
      <w:kern w:val="2"/>
      <w:sz w:val="20"/>
      <w:szCs w:val="20"/>
      <w14:ligatures w14:val="standardContextual"/>
    </w:rPr>
  </w:style>
  <w:style w:type="paragraph" w:customStyle="1" w:styleId="NumberingSWA">
    <w:name w:val="Numbering SWA"/>
    <w:basedOn w:val="Normal"/>
    <w:qFormat/>
    <w:rsid w:val="00C86576"/>
    <w:pPr>
      <w:numPr>
        <w:numId w:val="18"/>
      </w:numPr>
      <w:spacing w:line="240" w:lineRule="exact"/>
    </w:pPr>
    <w:rPr>
      <w:rFonts w:cs="Arial"/>
      <w:color w:val="404040" w:themeColor="text1" w:themeTint="BF"/>
      <w:szCs w:val="20"/>
    </w:rPr>
  </w:style>
  <w:style w:type="numbering" w:customStyle="1" w:styleId="Style1">
    <w:name w:val="Style1"/>
    <w:uiPriority w:val="99"/>
    <w:rsid w:val="00262B87"/>
    <w:pPr>
      <w:numPr>
        <w:numId w:val="23"/>
      </w:numPr>
    </w:pPr>
  </w:style>
  <w:style w:type="table" w:styleId="TableGrid">
    <w:name w:val="Table Grid"/>
    <w:basedOn w:val="TableNormal"/>
    <w:uiPriority w:val="39"/>
    <w:rsid w:val="00F96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148741">
      <w:bodyDiv w:val="1"/>
      <w:marLeft w:val="0"/>
      <w:marRight w:val="0"/>
      <w:marTop w:val="0"/>
      <w:marBottom w:val="0"/>
      <w:divBdr>
        <w:top w:val="none" w:sz="0" w:space="0" w:color="auto"/>
        <w:left w:val="none" w:sz="0" w:space="0" w:color="auto"/>
        <w:bottom w:val="none" w:sz="0" w:space="0" w:color="auto"/>
        <w:right w:val="none" w:sz="0" w:space="0" w:color="auto"/>
      </w:divBdr>
    </w:div>
    <w:div w:id="12982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info@swa.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a.hosts.application.enet/business-support/Communication/Documents/www.swa.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4189\Downloads\template-swa-data-report.dotx" TargetMode="External"/></Relationships>
</file>

<file path=word/theme/theme1.xml><?xml version="1.0" encoding="utf-8"?>
<a:theme xmlns:a="http://schemas.openxmlformats.org/drawingml/2006/main" name="SWA22-theme">
  <a:themeElements>
    <a:clrScheme name="SWA 2022">
      <a:dk1>
        <a:sysClr val="windowText" lastClr="000000"/>
      </a:dk1>
      <a:lt1>
        <a:sysClr val="window" lastClr="FFFFFF"/>
      </a:lt1>
      <a:dk2>
        <a:srgbClr val="3F3F3F"/>
      </a:dk2>
      <a:lt2>
        <a:srgbClr val="F2F2F2"/>
      </a:lt2>
      <a:accent1>
        <a:srgbClr val="E81D32"/>
      </a:accent1>
      <a:accent2>
        <a:srgbClr val="5F5E5E"/>
      </a:accent2>
      <a:accent3>
        <a:srgbClr val="7F7F7F"/>
      </a:accent3>
      <a:accent4>
        <a:srgbClr val="A5A5A5"/>
      </a:accent4>
      <a:accent5>
        <a:srgbClr val="4C62AD"/>
      </a:accent5>
      <a:accent6>
        <a:srgbClr val="EB9C3A"/>
      </a:accent6>
      <a:hlink>
        <a:srgbClr val="4C62AD"/>
      </a:hlink>
      <a:folHlink>
        <a:srgbClr val="E81D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F5BD7BA60FBAA408748C89ED6BBDBE7" ma:contentTypeVersion="40" ma:contentTypeDescription="Create a new document." ma:contentTypeScope="" ma:versionID="de7b4d25a7d5814595ba2fa6712f90cb">
  <xsd:schema xmlns:xsd="http://www.w3.org/2001/XMLSchema" xmlns:xs="http://www.w3.org/2001/XMLSchema" xmlns:p="http://schemas.microsoft.com/office/2006/metadata/properties" xmlns:ns2="2b6b1ac6-3da4-4973-8589-218893d1bb98" xmlns:ns3="5019e602-c650-4316-a3a7-10b2921f6c05" targetNamespace="http://schemas.microsoft.com/office/2006/metadata/properties" ma:root="true" ma:fieldsID="2e108a6be416b65065eb29732163a93d" ns2:_="" ns3:_="">
    <xsd:import namespace="2b6b1ac6-3da4-4973-8589-218893d1bb98"/>
    <xsd:import namespace="5019e602-c650-4316-a3a7-10b2921f6c0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b1ac6-3da4-4973-8589-218893d1bb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9e602-c650-4316-a3a7-10b2921f6c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2b6b1ac6-3da4-4973-8589-218893d1bb98">SWABUSNISUPRT-2026640480-214</_dlc_DocId>
    <_dlc_DocIdUrl xmlns="2b6b1ac6-3da4-4973-8589-218893d1bb98">
      <Url>https://sharedservicescentre.sharepoint.com/sites/swa-businesssupport/_layouts/15/DocIdRedir.aspx?ID=SWABUSNISUPRT-2026640480-214</Url>
      <Description>SWABUSNISUPRT-2026640480-214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6AD681-1774-437A-B9AD-364F624B42DB}">
  <ds:schemaRefs>
    <ds:schemaRef ds:uri="http://schemas.microsoft.com/sharepoint/events"/>
  </ds:schemaRefs>
</ds:datastoreItem>
</file>

<file path=customXml/itemProps2.xml><?xml version="1.0" encoding="utf-8"?>
<ds:datastoreItem xmlns:ds="http://schemas.openxmlformats.org/officeDocument/2006/customXml" ds:itemID="{B0B169EF-952A-4603-8DDF-70009C341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b1ac6-3da4-4973-8589-218893d1bb98"/>
    <ds:schemaRef ds:uri="5019e602-c650-4316-a3a7-10b2921f6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E9D18E-BB3A-40F6-841F-D3A711C8FF07}">
  <ds:schemaRefs>
    <ds:schemaRef ds:uri="http://schemas.openxmlformats.org/officeDocument/2006/bibliography"/>
  </ds:schemaRefs>
</ds:datastoreItem>
</file>

<file path=customXml/itemProps4.xml><?xml version="1.0" encoding="utf-8"?>
<ds:datastoreItem xmlns:ds="http://schemas.openxmlformats.org/officeDocument/2006/customXml" ds:itemID="{16F80C0A-F3E7-4A23-906C-57CC3DF5E6B1}">
  <ds:schemaRefs>
    <ds:schemaRef ds:uri="http://schemas.microsoft.com/office/2006/metadata/properties"/>
    <ds:schemaRef ds:uri="http://schemas.microsoft.com/office/infopath/2007/PartnerControls"/>
    <ds:schemaRef ds:uri="2b6b1ac6-3da4-4973-8589-218893d1bb98"/>
  </ds:schemaRefs>
</ds:datastoreItem>
</file>

<file path=customXml/itemProps5.xml><?xml version="1.0" encoding="utf-8"?>
<ds:datastoreItem xmlns:ds="http://schemas.openxmlformats.org/officeDocument/2006/customXml" ds:itemID="{AD36FD14-B143-422B-9025-AE9FD31C85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template-swa-data-report</Template>
  <TotalTime>206</TotalTime>
  <Pages>6</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BLANCHARD,Jonathan</dc:creator>
  <cp:keywords/>
  <dc:description/>
  <cp:lastModifiedBy>WISE,Phillip</cp:lastModifiedBy>
  <cp:revision>121</cp:revision>
  <dcterms:created xsi:type="dcterms:W3CDTF">2023-08-08T23:23:00Z</dcterms:created>
  <dcterms:modified xsi:type="dcterms:W3CDTF">2023-09-12T00:04:00Z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2022-06-02T05:50:25Z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fb435490-24ea-4820-95ad-2d53f7db4751</vt:lpwstr>
  </property>
  <property fmtid="{D5CDD505-2E9C-101B-9397-08002B2CF9AE}" pid="8" name="MSIP_Label_79d889eb-932f-4752-8739-64d25806ef64_ContentBits">
    <vt:lpwstr>0</vt:lpwstr>
  </property>
  <property fmtid="{D5CDD505-2E9C-101B-9397-08002B2CF9AE}" pid="9" name="ContentTypeId">
    <vt:lpwstr>0x010100BF5BD7BA60FBAA408748C89ED6BBDBE7</vt:lpwstr>
  </property>
  <property fmtid="{D5CDD505-2E9C-101B-9397-08002B2CF9AE}" pid="10" name="_dlc_DocIdItemGuid">
    <vt:lpwstr>9add8554-0634-4c18-b6b0-af0b998f96c3</vt:lpwstr>
  </property>
</Properties>
</file>